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03" w:rsidRDefault="003B0303" w:rsidP="003B0303">
      <w:pPr>
        <w:autoSpaceDE w:val="0"/>
        <w:autoSpaceDN w:val="0"/>
        <w:adjustRightInd w:val="0"/>
        <w:rPr>
          <w:rFonts w:ascii="Garamond" w:hAnsi="Garamond" w:cs="TimesNewRomanPS-BoldMT"/>
          <w:b/>
          <w:noProof/>
          <w:color w:val="FF0000"/>
          <w:sz w:val="32"/>
          <w:szCs w:val="32"/>
        </w:rPr>
      </w:pPr>
    </w:p>
    <w:p w:rsidR="003B0303" w:rsidRDefault="003B0303" w:rsidP="003B0303">
      <w:pPr>
        <w:autoSpaceDE w:val="0"/>
        <w:autoSpaceDN w:val="0"/>
        <w:adjustRightInd w:val="0"/>
        <w:jc w:val="center"/>
        <w:rPr>
          <w:rFonts w:ascii="Garamond" w:hAnsi="Garamond" w:cs="TimesNewRomanPS-BoldMT"/>
          <w:b/>
          <w:noProof/>
          <w:color w:val="FF0000"/>
          <w:sz w:val="32"/>
          <w:szCs w:val="32"/>
        </w:rPr>
      </w:pPr>
      <w:r>
        <w:rPr>
          <w:rFonts w:ascii="Garamond" w:hAnsi="Garamond" w:cs="TimesNewRomanPS-BoldMT"/>
          <w:b/>
          <w:noProof/>
          <w:color w:val="FF0000"/>
          <w:sz w:val="32"/>
          <w:szCs w:val="32"/>
          <w:lang w:eastAsia="fr-FR"/>
        </w:rPr>
        <w:drawing>
          <wp:inline distT="0" distB="0" distL="0" distR="0">
            <wp:extent cx="4095750" cy="1981200"/>
            <wp:effectExtent l="0" t="0" r="0" b="0"/>
            <wp:docPr id="1" name="Image 1" descr="f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981200"/>
                    </a:xfrm>
                    <a:prstGeom prst="rect">
                      <a:avLst/>
                    </a:prstGeom>
                    <a:noFill/>
                    <a:ln>
                      <a:noFill/>
                    </a:ln>
                  </pic:spPr>
                </pic:pic>
              </a:graphicData>
            </a:graphic>
          </wp:inline>
        </w:drawing>
      </w:r>
    </w:p>
    <w:p w:rsidR="003B0303" w:rsidRDefault="003B0303" w:rsidP="003B0303">
      <w:pPr>
        <w:autoSpaceDE w:val="0"/>
        <w:autoSpaceDN w:val="0"/>
        <w:adjustRightInd w:val="0"/>
        <w:jc w:val="center"/>
        <w:rPr>
          <w:rFonts w:ascii="Garamond" w:hAnsi="Garamond" w:cs="TimesNewRomanPS-BoldMT"/>
          <w:b/>
          <w:bCs/>
          <w:color w:val="FF0000"/>
          <w:sz w:val="32"/>
          <w:szCs w:val="32"/>
        </w:rPr>
      </w:pPr>
    </w:p>
    <w:p w:rsidR="003B0303" w:rsidRPr="006319A0" w:rsidRDefault="003B0303" w:rsidP="003B0303">
      <w:pPr>
        <w:jc w:val="both"/>
        <w:rPr>
          <w:rFonts w:ascii="Tw Cen MT" w:hAnsi="Tw Cen MT" w:cs="Calibri Light"/>
        </w:rPr>
      </w:pPr>
    </w:p>
    <w:p w:rsidR="003B0303" w:rsidRPr="006002B0" w:rsidRDefault="003B0303" w:rsidP="003B0303">
      <w:pPr>
        <w:jc w:val="both"/>
        <w:rPr>
          <w:rFonts w:ascii="Tw Cen MT" w:hAnsi="Tw Cen MT" w:cs="Calibri Light"/>
        </w:rPr>
      </w:pPr>
      <w:r w:rsidRPr="006002B0">
        <w:rPr>
          <w:rFonts w:ascii="Tw Cen MT" w:hAnsi="Tw Cen MT" w:cs="Calibri Light"/>
        </w:rPr>
        <w:t xml:space="preserve">La Palestine ne doit pas être perdue de vue dans un Moyen-Orient en proie à des troubles importants. Pour rester crédibles, l’Union européenne (UE) et la France ne peuvent s’accommoder des violations du droit international et du droit humanitaire qu’y pratique Israël. Leur approche doit être reconsidérée. La construction de l’Etat palestinien, dans la configuration à deux Etats qu’elles prônent, ne peut progresser dans le contexte de l’occupation israélienne sans changement politique. </w:t>
      </w:r>
    </w:p>
    <w:p w:rsidR="003B0303" w:rsidRPr="006002B0" w:rsidRDefault="003B0303" w:rsidP="003B0303">
      <w:pPr>
        <w:jc w:val="both"/>
        <w:rPr>
          <w:rFonts w:ascii="Tw Cen MT" w:hAnsi="Tw Cen MT" w:cs="Calibri Light"/>
        </w:rPr>
      </w:pPr>
    </w:p>
    <w:p w:rsidR="003B0303" w:rsidRPr="006002B0" w:rsidRDefault="003B0303" w:rsidP="003B0303">
      <w:pPr>
        <w:jc w:val="both"/>
        <w:rPr>
          <w:rFonts w:ascii="Tw Cen MT" w:hAnsi="Tw Cen MT" w:cs="Calibri Light"/>
        </w:rPr>
      </w:pPr>
      <w:r w:rsidRPr="006002B0">
        <w:rPr>
          <w:rFonts w:ascii="Tw Cen MT" w:hAnsi="Tw Cen MT" w:cs="Calibri Light"/>
        </w:rPr>
        <w:t>Le rôle de l’Assemblée nationale est primordial, les députés ont le devoir et le pouvoir d’influer sur la politique étrangère de la France sur ce dossier majeur. Questions écrites, orales, propositions de résolution, auditions, débats en commission, les moyens de faire entendre la voix des citoyens français sont nombreux.</w:t>
      </w:r>
    </w:p>
    <w:p w:rsidR="003B0303" w:rsidRPr="00565C51" w:rsidRDefault="003B0303" w:rsidP="003B0303">
      <w:pPr>
        <w:jc w:val="both"/>
        <w:rPr>
          <w:rFonts w:ascii="Tw Cen MT" w:hAnsi="Tw Cen MT" w:cs="Calibri Light"/>
          <w:sz w:val="25"/>
          <w:szCs w:val="25"/>
        </w:rPr>
      </w:pPr>
    </w:p>
    <w:p w:rsidR="003B0303" w:rsidRDefault="003B0303" w:rsidP="003B0303">
      <w:pPr>
        <w:jc w:val="both"/>
        <w:rPr>
          <w:rFonts w:ascii="Garamond" w:hAnsi="Garamond" w:cs="TimesNewRomanPSMT"/>
        </w:rPr>
      </w:pPr>
    </w:p>
    <w:p w:rsidR="003B0303" w:rsidRPr="006002B0" w:rsidRDefault="003B0303" w:rsidP="003B0303">
      <w:pPr>
        <w:pStyle w:val="TableauGrille31"/>
        <w:spacing w:before="0"/>
        <w:rPr>
          <w:rFonts w:ascii="Tw Cen MT" w:hAnsi="Tw Cen MT" w:cs="Calibri"/>
          <w:b/>
          <w:color w:val="auto"/>
          <w:sz w:val="28"/>
          <w:szCs w:val="28"/>
        </w:rPr>
      </w:pPr>
      <w:r w:rsidRPr="006002B0">
        <w:rPr>
          <w:rFonts w:ascii="Tw Cen MT" w:hAnsi="Tw Cen MT" w:cs="Calibri"/>
          <w:b/>
          <w:color w:val="auto"/>
          <w:sz w:val="28"/>
          <w:szCs w:val="28"/>
        </w:rPr>
        <w:t>Questions posées aux candidats</w:t>
      </w:r>
    </w:p>
    <w:p w:rsidR="003B0303" w:rsidRDefault="003B0303" w:rsidP="003B0303">
      <w:pPr>
        <w:rPr>
          <w:sz w:val="22"/>
        </w:rPr>
      </w:pPr>
    </w:p>
    <w:p w:rsidR="003B0303" w:rsidRPr="00296DFC" w:rsidRDefault="003B0303" w:rsidP="003B0303">
      <w:pPr>
        <w:pStyle w:val="TM1"/>
        <w:rPr>
          <w:sz w:val="24"/>
          <w:szCs w:val="24"/>
        </w:rPr>
      </w:pPr>
      <w:r w:rsidRPr="00296DFC">
        <w:rPr>
          <w:sz w:val="24"/>
          <w:szCs w:val="24"/>
        </w:rPr>
        <w:t xml:space="preserve">1) </w:t>
      </w:r>
      <w:r w:rsidRPr="00296DFC">
        <w:rPr>
          <w:caps/>
          <w:sz w:val="24"/>
          <w:szCs w:val="24"/>
        </w:rPr>
        <w:t>d</w:t>
      </w:r>
      <w:r w:rsidRPr="00296DFC">
        <w:rPr>
          <w:sz w:val="24"/>
          <w:szCs w:val="24"/>
        </w:rPr>
        <w:t xml:space="preserve">éfendrez-vous la liberté d’expression pour les citoyens et associations solidaires </w:t>
      </w:r>
      <w:r>
        <w:rPr>
          <w:sz w:val="24"/>
          <w:szCs w:val="24"/>
        </w:rPr>
        <w:t>du peuple palestinien</w:t>
      </w:r>
      <w:r w:rsidRPr="00296DFC">
        <w:rPr>
          <w:sz w:val="24"/>
          <w:szCs w:val="24"/>
        </w:rPr>
        <w:t xml:space="preserve">, notamment le droit d’appeler au BDS (Boycott-Désinvestissement-Sanctions) </w:t>
      </w:r>
      <w:r>
        <w:rPr>
          <w:sz w:val="24"/>
          <w:szCs w:val="24"/>
        </w:rPr>
        <w:t xml:space="preserve">et de le pratiquer </w:t>
      </w:r>
      <w:r w:rsidRPr="00296DFC">
        <w:rPr>
          <w:sz w:val="24"/>
          <w:szCs w:val="24"/>
        </w:rPr>
        <w:t>?.</w:t>
      </w:r>
      <w:r w:rsidRPr="00296DFC">
        <w:rPr>
          <w:bCs/>
          <w:sz w:val="24"/>
          <w:szCs w:val="24"/>
        </w:rPr>
        <w:tab/>
        <w:t>2</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Contexte</w:t>
      </w:r>
      <w:r w:rsidRPr="00296DFC">
        <w:rPr>
          <w:rFonts w:ascii="Tw Cen MT" w:hAnsi="Tw Cen MT"/>
          <w:sz w:val="24"/>
          <w:szCs w:val="24"/>
        </w:rPr>
        <w:tab/>
        <w:t>2</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Demande phare</w:t>
      </w:r>
      <w:r w:rsidRPr="00296DFC">
        <w:rPr>
          <w:rFonts w:ascii="Tw Cen MT" w:hAnsi="Tw Cen MT"/>
          <w:sz w:val="24"/>
          <w:szCs w:val="24"/>
        </w:rPr>
        <w:tab/>
        <w:t>3</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Comment ?</w:t>
      </w:r>
      <w:r w:rsidRPr="00296DFC">
        <w:rPr>
          <w:rFonts w:ascii="Tw Cen MT" w:hAnsi="Tw Cen MT"/>
          <w:sz w:val="24"/>
          <w:szCs w:val="24"/>
        </w:rPr>
        <w:tab/>
        <w:t>3</w:t>
      </w:r>
    </w:p>
    <w:p w:rsidR="003B0303" w:rsidRPr="00296DFC" w:rsidRDefault="003B0303" w:rsidP="003B0303">
      <w:pPr>
        <w:pStyle w:val="TM1"/>
        <w:rPr>
          <w:sz w:val="24"/>
          <w:szCs w:val="24"/>
        </w:rPr>
      </w:pPr>
      <w:r w:rsidRPr="00296DFC">
        <w:rPr>
          <w:sz w:val="24"/>
          <w:szCs w:val="24"/>
        </w:rPr>
        <w:t>2) Combattrez-vous toute complicité de la France (Etat et entreprises) avec la colonisation israélienne d</w:t>
      </w:r>
      <w:r w:rsidR="007250FD">
        <w:rPr>
          <w:sz w:val="24"/>
          <w:szCs w:val="24"/>
        </w:rPr>
        <w:t>u Territoire palestinien occupé</w:t>
      </w:r>
      <w:r w:rsidRPr="00296DFC">
        <w:rPr>
          <w:sz w:val="24"/>
          <w:szCs w:val="24"/>
        </w:rPr>
        <w:t xml:space="preserve"> ? </w:t>
      </w:r>
      <w:r w:rsidRPr="00296DFC">
        <w:rPr>
          <w:bCs/>
          <w:sz w:val="24"/>
          <w:szCs w:val="24"/>
        </w:rPr>
        <w:tab/>
        <w:t>4</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Contexte</w:t>
      </w:r>
      <w:r w:rsidRPr="00296DFC">
        <w:rPr>
          <w:rFonts w:ascii="Tw Cen MT" w:hAnsi="Tw Cen MT"/>
          <w:sz w:val="24"/>
          <w:szCs w:val="24"/>
        </w:rPr>
        <w:tab/>
        <w:t>4</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Demande phare</w:t>
      </w:r>
      <w:r w:rsidRPr="00296DFC">
        <w:rPr>
          <w:rFonts w:ascii="Tw Cen MT" w:hAnsi="Tw Cen MT"/>
          <w:sz w:val="24"/>
          <w:szCs w:val="24"/>
        </w:rPr>
        <w:tab/>
        <w:t>4</w:t>
      </w:r>
    </w:p>
    <w:p w:rsidR="003B0303" w:rsidRPr="00296DFC" w:rsidRDefault="003B0303" w:rsidP="00C968C2">
      <w:pPr>
        <w:pStyle w:val="TM2"/>
        <w:tabs>
          <w:tab w:val="right" w:leader="dot" w:pos="9356"/>
        </w:tabs>
        <w:spacing w:after="180"/>
        <w:ind w:left="215"/>
        <w:rPr>
          <w:rFonts w:ascii="Tw Cen MT" w:hAnsi="Tw Cen MT"/>
          <w:sz w:val="24"/>
          <w:szCs w:val="24"/>
        </w:rPr>
      </w:pPr>
      <w:r w:rsidRPr="00296DFC">
        <w:rPr>
          <w:rFonts w:ascii="Tw Cen MT" w:hAnsi="Tw Cen MT"/>
          <w:sz w:val="24"/>
          <w:szCs w:val="24"/>
        </w:rPr>
        <w:t>Comment ?</w:t>
      </w:r>
      <w:r w:rsidRPr="00296DFC">
        <w:rPr>
          <w:rFonts w:ascii="Tw Cen MT" w:hAnsi="Tw Cen MT"/>
          <w:sz w:val="24"/>
          <w:szCs w:val="24"/>
        </w:rPr>
        <w:tab/>
        <w:t>5</w:t>
      </w:r>
    </w:p>
    <w:p w:rsidR="003B0303" w:rsidRPr="00296DFC" w:rsidRDefault="003B0303" w:rsidP="00C968C2">
      <w:pPr>
        <w:pStyle w:val="TM1"/>
        <w:spacing w:after="180"/>
        <w:rPr>
          <w:sz w:val="24"/>
          <w:szCs w:val="24"/>
        </w:rPr>
      </w:pPr>
      <w:bookmarkStart w:id="0" w:name="_Toc464563517"/>
      <w:r w:rsidRPr="00296DFC">
        <w:rPr>
          <w:sz w:val="24"/>
          <w:szCs w:val="24"/>
        </w:rPr>
        <w:t xml:space="preserve">3) Demanderez-vous au gouvernement </w:t>
      </w:r>
      <w:r>
        <w:rPr>
          <w:sz w:val="24"/>
          <w:szCs w:val="24"/>
        </w:rPr>
        <w:t>d’exercer les pressions nécessaires pour</w:t>
      </w:r>
      <w:r w:rsidRPr="00296DFC">
        <w:rPr>
          <w:sz w:val="24"/>
          <w:szCs w:val="24"/>
        </w:rPr>
        <w:t xml:space="preserve"> </w:t>
      </w:r>
      <w:r>
        <w:rPr>
          <w:sz w:val="24"/>
          <w:szCs w:val="24"/>
        </w:rPr>
        <w:t>obtenir la levée du</w:t>
      </w:r>
      <w:r w:rsidRPr="00296DFC">
        <w:rPr>
          <w:sz w:val="24"/>
          <w:szCs w:val="24"/>
        </w:rPr>
        <w:t xml:space="preserve"> blocus de Gaza ?</w:t>
      </w:r>
      <w:r w:rsidRPr="00296DFC">
        <w:rPr>
          <w:bCs/>
          <w:sz w:val="24"/>
          <w:szCs w:val="24"/>
        </w:rPr>
        <w:tab/>
        <w:t>6</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Contexte</w:t>
      </w:r>
      <w:r w:rsidRPr="00296DFC">
        <w:rPr>
          <w:rFonts w:ascii="Tw Cen MT" w:hAnsi="Tw Cen MT"/>
          <w:sz w:val="24"/>
          <w:szCs w:val="24"/>
        </w:rPr>
        <w:tab/>
        <w:t>6</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Demande phare</w:t>
      </w:r>
      <w:r w:rsidRPr="00296DFC">
        <w:rPr>
          <w:rFonts w:ascii="Tw Cen MT" w:hAnsi="Tw Cen MT"/>
          <w:sz w:val="24"/>
          <w:szCs w:val="24"/>
        </w:rPr>
        <w:tab/>
        <w:t>6</w:t>
      </w:r>
    </w:p>
    <w:p w:rsidR="003B0303" w:rsidRPr="00296DFC" w:rsidRDefault="003B0303" w:rsidP="00C968C2">
      <w:pPr>
        <w:pStyle w:val="TM2"/>
        <w:tabs>
          <w:tab w:val="right" w:leader="dot" w:pos="9356"/>
        </w:tabs>
        <w:spacing w:after="180"/>
        <w:ind w:left="215"/>
        <w:rPr>
          <w:rFonts w:ascii="Tw Cen MT" w:hAnsi="Tw Cen MT"/>
          <w:sz w:val="24"/>
          <w:szCs w:val="24"/>
        </w:rPr>
      </w:pPr>
      <w:r w:rsidRPr="00296DFC">
        <w:rPr>
          <w:rFonts w:ascii="Tw Cen MT" w:hAnsi="Tw Cen MT"/>
          <w:sz w:val="24"/>
          <w:szCs w:val="24"/>
        </w:rPr>
        <w:t>Comment ?</w:t>
      </w:r>
      <w:r w:rsidRPr="00296DFC">
        <w:rPr>
          <w:rFonts w:ascii="Tw Cen MT" w:hAnsi="Tw Cen MT"/>
          <w:sz w:val="24"/>
          <w:szCs w:val="24"/>
        </w:rPr>
        <w:tab/>
        <w:t>6</w:t>
      </w:r>
    </w:p>
    <w:p w:rsidR="003B0303" w:rsidRPr="00296DFC" w:rsidRDefault="003B0303" w:rsidP="00C968C2">
      <w:pPr>
        <w:pStyle w:val="TM1"/>
        <w:spacing w:after="180"/>
        <w:rPr>
          <w:sz w:val="24"/>
          <w:szCs w:val="24"/>
        </w:rPr>
      </w:pPr>
      <w:r>
        <w:rPr>
          <w:sz w:val="24"/>
          <w:szCs w:val="24"/>
        </w:rPr>
        <w:t>4</w:t>
      </w:r>
      <w:r w:rsidRPr="00296DFC">
        <w:rPr>
          <w:sz w:val="24"/>
          <w:szCs w:val="24"/>
        </w:rPr>
        <w:t xml:space="preserve">) Demanderez-vous au gouvernement </w:t>
      </w:r>
      <w:r>
        <w:rPr>
          <w:sz w:val="24"/>
          <w:szCs w:val="24"/>
        </w:rPr>
        <w:t>l’application des résolutions votées en 2014 par l’Assemblée nationale et le Sénat sur la reconnaissance de l’Etat palestinien ?</w:t>
      </w:r>
      <w:r w:rsidRPr="00296DFC">
        <w:rPr>
          <w:bCs/>
          <w:sz w:val="24"/>
          <w:szCs w:val="24"/>
        </w:rPr>
        <w:tab/>
      </w:r>
      <w:r>
        <w:rPr>
          <w:bCs/>
          <w:sz w:val="24"/>
          <w:szCs w:val="24"/>
        </w:rPr>
        <w:t>7</w:t>
      </w:r>
    </w:p>
    <w:p w:rsidR="003B0303" w:rsidRPr="00296DFC"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Contexte</w:t>
      </w:r>
      <w:r w:rsidRPr="00296DFC">
        <w:rPr>
          <w:rFonts w:ascii="Tw Cen MT" w:hAnsi="Tw Cen MT"/>
          <w:sz w:val="24"/>
          <w:szCs w:val="24"/>
        </w:rPr>
        <w:tab/>
      </w:r>
      <w:r>
        <w:rPr>
          <w:rFonts w:ascii="Tw Cen MT" w:hAnsi="Tw Cen MT"/>
          <w:sz w:val="24"/>
          <w:szCs w:val="24"/>
        </w:rPr>
        <w:t>7</w:t>
      </w:r>
    </w:p>
    <w:p w:rsidR="003B0303" w:rsidRPr="00756E45" w:rsidRDefault="003B0303" w:rsidP="003B0303">
      <w:pPr>
        <w:pStyle w:val="TM2"/>
        <w:tabs>
          <w:tab w:val="right" w:leader="dot" w:pos="9356"/>
        </w:tabs>
        <w:spacing w:after="40"/>
        <w:ind w:left="215"/>
        <w:rPr>
          <w:rFonts w:ascii="Tw Cen MT" w:hAnsi="Tw Cen MT"/>
          <w:sz w:val="24"/>
          <w:szCs w:val="24"/>
        </w:rPr>
      </w:pPr>
      <w:r w:rsidRPr="00296DFC">
        <w:rPr>
          <w:rFonts w:ascii="Tw Cen MT" w:hAnsi="Tw Cen MT"/>
          <w:sz w:val="24"/>
          <w:szCs w:val="24"/>
        </w:rPr>
        <w:t>Demande phare</w:t>
      </w:r>
      <w:r w:rsidRPr="00296DFC">
        <w:rPr>
          <w:rFonts w:ascii="Tw Cen MT" w:hAnsi="Tw Cen MT"/>
          <w:sz w:val="24"/>
          <w:szCs w:val="24"/>
        </w:rPr>
        <w:tab/>
      </w:r>
      <w:r>
        <w:rPr>
          <w:rFonts w:ascii="Tw Cen MT" w:hAnsi="Tw Cen MT"/>
          <w:sz w:val="24"/>
          <w:szCs w:val="24"/>
        </w:rPr>
        <w:t>7</w:t>
      </w:r>
    </w:p>
    <w:p w:rsidR="003B0303" w:rsidRDefault="003B0303" w:rsidP="003B0303">
      <w:pPr>
        <w:pStyle w:val="TM1"/>
        <w:rPr>
          <w:sz w:val="26"/>
        </w:rPr>
      </w:pPr>
    </w:p>
    <w:p w:rsidR="003B0303" w:rsidRPr="00E53A2E" w:rsidRDefault="003B0303" w:rsidP="003B0303">
      <w:pPr>
        <w:pStyle w:val="TM1"/>
        <w:rPr>
          <w:sz w:val="26"/>
        </w:rPr>
      </w:pPr>
      <w:r w:rsidRPr="00E53A2E">
        <w:rPr>
          <w:sz w:val="26"/>
        </w:rPr>
        <w:t xml:space="preserve">1) </w:t>
      </w:r>
      <w:r w:rsidRPr="004E0D5D">
        <w:rPr>
          <w:caps/>
          <w:sz w:val="26"/>
        </w:rPr>
        <w:t>d</w:t>
      </w:r>
      <w:r w:rsidRPr="0011610F">
        <w:rPr>
          <w:sz w:val="26"/>
        </w:rPr>
        <w:t>éfendre</w:t>
      </w:r>
      <w:r>
        <w:rPr>
          <w:sz w:val="26"/>
        </w:rPr>
        <w:t>z-vous</w:t>
      </w:r>
      <w:r w:rsidRPr="0011610F">
        <w:rPr>
          <w:sz w:val="26"/>
        </w:rPr>
        <w:t xml:space="preserve"> </w:t>
      </w:r>
      <w:r w:rsidRPr="00E53A2E">
        <w:rPr>
          <w:sz w:val="26"/>
        </w:rPr>
        <w:t xml:space="preserve">la liberté d’expression pour les citoyens et associations solidaires </w:t>
      </w:r>
      <w:r>
        <w:rPr>
          <w:sz w:val="24"/>
          <w:szCs w:val="24"/>
        </w:rPr>
        <w:t>du peuple palestinien</w:t>
      </w:r>
      <w:r w:rsidRPr="00E53A2E">
        <w:rPr>
          <w:sz w:val="26"/>
        </w:rPr>
        <w:t xml:space="preserve">, notamment </w:t>
      </w:r>
      <w:r>
        <w:rPr>
          <w:sz w:val="26"/>
        </w:rPr>
        <w:t>le droit d’appeler au</w:t>
      </w:r>
      <w:r w:rsidRPr="00E53A2E">
        <w:rPr>
          <w:sz w:val="26"/>
        </w:rPr>
        <w:t xml:space="preserve"> B</w:t>
      </w:r>
      <w:r>
        <w:rPr>
          <w:sz w:val="26"/>
        </w:rPr>
        <w:t>DS (Boycott-</w:t>
      </w:r>
      <w:r w:rsidRPr="00E53A2E">
        <w:rPr>
          <w:sz w:val="26"/>
        </w:rPr>
        <w:t>D</w:t>
      </w:r>
      <w:r>
        <w:rPr>
          <w:sz w:val="26"/>
        </w:rPr>
        <w:t>ésinvestissement-</w:t>
      </w:r>
      <w:r w:rsidRPr="00E53A2E">
        <w:rPr>
          <w:sz w:val="26"/>
        </w:rPr>
        <w:t>S</w:t>
      </w:r>
      <w:r>
        <w:rPr>
          <w:sz w:val="26"/>
        </w:rPr>
        <w:t>anctions) et de le pratiquer ?</w:t>
      </w:r>
    </w:p>
    <w:p w:rsidR="003B0303" w:rsidRPr="00E53A2E" w:rsidRDefault="003B0303" w:rsidP="003B0303">
      <w:pPr>
        <w:rPr>
          <w:sz w:val="28"/>
        </w:rPr>
      </w:pPr>
      <w:bookmarkStart w:id="1" w:name="_GoBack"/>
      <w:r w:rsidRPr="0011610F">
        <w:rPr>
          <w:noProof/>
          <w:sz w:val="26"/>
          <w:szCs w:val="26"/>
          <w:lang w:eastAsia="fr-FR"/>
        </w:rPr>
        <w:drawing>
          <wp:anchor distT="36576" distB="36576" distL="36576" distR="36576" simplePos="0" relativeHeight="251660288" behindDoc="0" locked="0" layoutInCell="1" allowOverlap="1">
            <wp:simplePos x="0" y="0"/>
            <wp:positionH relativeFrom="column">
              <wp:posOffset>-347345</wp:posOffset>
            </wp:positionH>
            <wp:positionV relativeFrom="paragraph">
              <wp:posOffset>125095</wp:posOffset>
            </wp:positionV>
            <wp:extent cx="276225" cy="320675"/>
            <wp:effectExtent l="0" t="0" r="9525"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0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3B0303" w:rsidRPr="009B4A3A" w:rsidRDefault="003B0303" w:rsidP="003B0303">
      <w:pPr>
        <w:autoSpaceDE w:val="0"/>
        <w:autoSpaceDN w:val="0"/>
        <w:adjustRightInd w:val="0"/>
        <w:jc w:val="both"/>
        <w:rPr>
          <w:rFonts w:ascii="Tw Cen MT" w:hAnsi="Tw Cen MT" w:cs="TimesNewRomanPSMT"/>
          <w:b/>
        </w:rPr>
      </w:pPr>
      <w:r w:rsidRPr="009B4A3A">
        <w:rPr>
          <w:rFonts w:ascii="Tw Cen MT" w:hAnsi="Tw Cen MT" w:cs="TimesNewRomanPSMT"/>
          <w:b/>
          <w:i/>
        </w:rPr>
        <w:t>Face à l’impunité des autorités israéliennes et l’inaction de la communauté internationale, les sociétés civiles et citoyens usent de leur liberté d’expression pour faire pression sur Israël afin qu’il se plie au droit international ; notamment en appelant au boycott, au désinvestissement et aux sanctions contre l’Etat d’Israël</w:t>
      </w:r>
      <w:r w:rsidRPr="00056461">
        <w:rPr>
          <w:rFonts w:ascii="Tw Cen MT" w:hAnsi="Tw Cen MT" w:cs="TimesNewRomanPSMT"/>
          <w:b/>
          <w:i/>
        </w:rPr>
        <w:t xml:space="preserve"> </w:t>
      </w:r>
      <w:r>
        <w:rPr>
          <w:rFonts w:ascii="Tw Cen MT" w:hAnsi="Tw Cen MT" w:cs="TimesNewRomanPSMT"/>
          <w:b/>
          <w:i/>
        </w:rPr>
        <w:t>jusqu’à ce qu’il remplisse ses obligations</w:t>
      </w:r>
      <w:r w:rsidRPr="009B4A3A">
        <w:rPr>
          <w:rFonts w:ascii="Tw Cen MT" w:hAnsi="Tw Cen MT" w:cs="TimesNewRomanPSMT"/>
          <w:b/>
          <w:i/>
        </w:rPr>
        <w:t>. Un droit menacé en France.</w:t>
      </w:r>
    </w:p>
    <w:p w:rsidR="003B0303" w:rsidRPr="00E53A2E" w:rsidRDefault="003B0303" w:rsidP="003B0303">
      <w:pPr>
        <w:autoSpaceDE w:val="0"/>
        <w:autoSpaceDN w:val="0"/>
        <w:adjustRightInd w:val="0"/>
        <w:jc w:val="both"/>
        <w:rPr>
          <w:rFonts w:ascii="Tw Cen MT" w:hAnsi="Tw Cen MT" w:cs="TimesNewRomanPSMT"/>
          <w:sz w:val="28"/>
        </w:rPr>
      </w:pPr>
    </w:p>
    <w:p w:rsidR="003B0303" w:rsidRDefault="003B0303" w:rsidP="003B0303">
      <w:pPr>
        <w:rPr>
          <w:rFonts w:ascii="Tw Cen MT" w:hAnsi="Tw Cen MT"/>
          <w:b/>
          <w:color w:val="10AC04"/>
          <w:sz w:val="28"/>
        </w:rPr>
      </w:pPr>
      <w:r w:rsidRPr="00784261">
        <w:rPr>
          <w:rFonts w:ascii="Tw Cen MT" w:hAnsi="Tw Cen MT"/>
          <w:b/>
          <w:color w:val="10AC04"/>
          <w:sz w:val="28"/>
        </w:rPr>
        <w:t>Contexte</w:t>
      </w:r>
    </w:p>
    <w:p w:rsidR="003B0303" w:rsidRPr="00784261" w:rsidRDefault="003B0303" w:rsidP="003B0303">
      <w:pPr>
        <w:rPr>
          <w:rFonts w:ascii="Tw Cen MT" w:hAnsi="Tw Cen MT"/>
          <w:b/>
          <w:color w:val="10AC04"/>
          <w:sz w:val="28"/>
        </w:rPr>
      </w:pPr>
    </w:p>
    <w:p w:rsidR="003B0303" w:rsidRPr="009B4A3A" w:rsidRDefault="003B0303" w:rsidP="003B0303">
      <w:pPr>
        <w:autoSpaceDE w:val="0"/>
        <w:autoSpaceDN w:val="0"/>
        <w:adjustRightInd w:val="0"/>
        <w:jc w:val="both"/>
        <w:rPr>
          <w:rFonts w:ascii="Tw Cen MT" w:hAnsi="Tw Cen MT" w:cs="TimesNewRomanPSMT"/>
        </w:rPr>
      </w:pPr>
      <w:r w:rsidRPr="009B4A3A">
        <w:rPr>
          <w:rFonts w:ascii="Tw Cen MT" w:hAnsi="Tw Cen MT" w:cs="TimesNewRomanPSMT"/>
        </w:rPr>
        <w:t xml:space="preserve">Le mouvement BDS (Boycott – Désinvestissement – Sanctions) </w:t>
      </w:r>
      <w:r w:rsidRPr="009B4A3A">
        <w:rPr>
          <w:rFonts w:ascii="Tw Cen MT" w:hAnsi="Tw Cen MT" w:cs="Calibri"/>
          <w:lang w:val="fr"/>
        </w:rPr>
        <w:t xml:space="preserve">est un mouvement non-violent lancé </w:t>
      </w:r>
      <w:r>
        <w:rPr>
          <w:rFonts w:ascii="Tw Cen MT" w:hAnsi="Tw Cen MT" w:cs="Calibri"/>
          <w:lang w:val="fr"/>
        </w:rPr>
        <w:t>il y a</w:t>
      </w:r>
      <w:r w:rsidRPr="009B4A3A">
        <w:rPr>
          <w:rFonts w:ascii="Tw Cen MT" w:hAnsi="Tw Cen MT" w:cs="Calibri"/>
          <w:lang w:val="fr"/>
        </w:rPr>
        <w:t xml:space="preserve"> dix ans à l’appel de la société civile palestinienne, inspiré du boycott de l’Afrique du Sud sous apartheid ou encore du mouvement pour les droits civiques aux Etats-Unis. Il vise en effet, par l’appel au boycott, au désinvestissement, et aux sanctions, à faire pression sur l’État d’Israël afin qu’il respecte le droit international et les droits de l’Homme. Son action poursuit un but légitime et en accord avec le droit, souligné par de nombreuses organisations internationales dont la </w:t>
      </w:r>
      <w:hyperlink r:id="rId10" w:history="1">
        <w:r w:rsidRPr="009B4A3A">
          <w:rPr>
            <w:rStyle w:val="Lienhypertexte"/>
            <w:rFonts w:ascii="Tw Cen MT" w:hAnsi="Tw Cen MT" w:cs="Calibri"/>
            <w:lang w:val="fr"/>
          </w:rPr>
          <w:t>Fédération Internationale des Droits de l’Homme</w:t>
        </w:r>
      </w:hyperlink>
      <w:r w:rsidRPr="009B4A3A">
        <w:rPr>
          <w:rFonts w:ascii="Tw Cen MT" w:hAnsi="Tw Cen MT" w:cs="Calibri"/>
          <w:lang w:val="fr"/>
        </w:rPr>
        <w:t xml:space="preserve"> (FIDH)</w:t>
      </w:r>
      <w:r>
        <w:rPr>
          <w:rFonts w:ascii="Tw Cen MT" w:hAnsi="Tw Cen MT" w:cs="Calibri"/>
          <w:lang w:val="fr"/>
        </w:rPr>
        <w:t xml:space="preserve"> et</w:t>
      </w:r>
      <w:r w:rsidRPr="009B4A3A">
        <w:rPr>
          <w:rFonts w:ascii="Tw Cen MT" w:hAnsi="Tw Cen MT" w:cs="Calibri"/>
          <w:lang w:val="fr"/>
        </w:rPr>
        <w:t xml:space="preserve"> </w:t>
      </w:r>
      <w:hyperlink r:id="rId11" w:history="1">
        <w:r w:rsidRPr="009B4A3A">
          <w:rPr>
            <w:rStyle w:val="Lienhypertexte"/>
            <w:rFonts w:ascii="Tw Cen MT" w:hAnsi="Tw Cen MT" w:cs="Calibri"/>
            <w:lang w:val="fr"/>
          </w:rPr>
          <w:t>Amnesty International</w:t>
        </w:r>
      </w:hyperlink>
      <w:r>
        <w:rPr>
          <w:rFonts w:ascii="Tw Cen MT" w:hAnsi="Tw Cen MT" w:cs="Calibri"/>
          <w:lang w:val="fr"/>
        </w:rPr>
        <w:t>.</w:t>
      </w:r>
    </w:p>
    <w:p w:rsidR="003B0303" w:rsidRPr="009B4A3A" w:rsidRDefault="003B0303" w:rsidP="003B0303">
      <w:pPr>
        <w:autoSpaceDE w:val="0"/>
        <w:autoSpaceDN w:val="0"/>
        <w:adjustRightInd w:val="0"/>
        <w:jc w:val="both"/>
        <w:rPr>
          <w:rFonts w:ascii="Tw Cen MT" w:hAnsi="Tw Cen MT" w:cs="TimesNewRomanPSMT"/>
        </w:rPr>
      </w:pPr>
    </w:p>
    <w:p w:rsidR="003B0303" w:rsidRPr="008B6505" w:rsidRDefault="003B0303" w:rsidP="003B0303">
      <w:pPr>
        <w:autoSpaceDE w:val="0"/>
        <w:autoSpaceDN w:val="0"/>
        <w:adjustRightInd w:val="0"/>
        <w:jc w:val="both"/>
        <w:rPr>
          <w:rFonts w:ascii="Tw Cen MT" w:hAnsi="Tw Cen MT" w:cs="TimesNewRomanPSMT"/>
        </w:rPr>
      </w:pPr>
      <w:r w:rsidRPr="009B4A3A">
        <w:rPr>
          <w:rFonts w:ascii="Tw Cen MT" w:hAnsi="Tw Cen MT" w:cs="TimesNewRomanPSMT"/>
        </w:rPr>
        <w:t xml:space="preserve">La pratique du BDS est </w:t>
      </w:r>
      <w:r w:rsidRPr="008B6505">
        <w:rPr>
          <w:rFonts w:ascii="Tw Cen MT" w:hAnsi="Tw Cen MT" w:cs="TimesNewRomanPSMT"/>
        </w:rPr>
        <w:t>en outre reconnue par les Nations </w:t>
      </w:r>
      <w:r>
        <w:rPr>
          <w:rFonts w:ascii="Tw Cen MT" w:hAnsi="Tw Cen MT" w:cs="TimesNewRomanPSMT"/>
        </w:rPr>
        <w:t xml:space="preserve">unies </w:t>
      </w:r>
      <w:r w:rsidRPr="008B6505">
        <w:rPr>
          <w:rFonts w:ascii="Tw Cen MT" w:hAnsi="Tw Cen MT" w:cs="TimesNewRomanPSMT"/>
        </w:rPr>
        <w:t>; et plusieurs défenseurs des droits humains et rapporteurs spéciaux de l’ONU ont estimé que la loi israélienne qualifiant l’appel au boycott d’Israël de délit « viole le droit à la liberté d’opinion et d’expression »</w:t>
      </w:r>
      <w:r w:rsidRPr="008B6505">
        <w:rPr>
          <w:rStyle w:val="Appelnotedebasdep"/>
          <w:rFonts w:ascii="Tw Cen MT" w:hAnsi="Tw Cen MT" w:cs="TimesNewRomanPSMT"/>
        </w:rPr>
        <w:footnoteReference w:id="1"/>
      </w:r>
      <w:r w:rsidRPr="008B6505">
        <w:rPr>
          <w:rFonts w:ascii="Tw Cen MT" w:hAnsi="Tw Cen MT" w:cs="TimesNewRomanPSMT"/>
        </w:rPr>
        <w:t>.</w:t>
      </w:r>
      <w:r w:rsidRPr="008B6505">
        <w:rPr>
          <w:rStyle w:val="lev"/>
          <w:rFonts w:ascii="Tw Cen MT" w:hAnsi="Tw Cen MT"/>
          <w:b w:val="0"/>
        </w:rPr>
        <w:t xml:space="preserve"> </w:t>
      </w:r>
      <w:r w:rsidRPr="008B6505">
        <w:rPr>
          <w:rFonts w:ascii="Tw Cen MT" w:hAnsi="Tw Cen MT" w:cs="TimesNewRomanPSMT"/>
        </w:rPr>
        <w:t xml:space="preserve">Federica </w:t>
      </w:r>
      <w:proofErr w:type="spellStart"/>
      <w:r w:rsidRPr="008B6505">
        <w:rPr>
          <w:rFonts w:ascii="Tw Cen MT" w:hAnsi="Tw Cen MT" w:cs="TimesNewRomanPSMT"/>
        </w:rPr>
        <w:t>Mogherini</w:t>
      </w:r>
      <w:proofErr w:type="spellEnd"/>
      <w:r w:rsidRPr="008B6505">
        <w:rPr>
          <w:rFonts w:ascii="Tw Cen MT" w:hAnsi="Tw Cen MT" w:cs="TimesNewRomanPSMT"/>
        </w:rPr>
        <w:t xml:space="preserve"> </w:t>
      </w:r>
      <w:hyperlink r:id="rId12" w:anchor="def1" w:history="1">
        <w:r w:rsidRPr="008B6505">
          <w:rPr>
            <w:rStyle w:val="Lienhypertexte"/>
            <w:rFonts w:ascii="Tw Cen MT" w:hAnsi="Tw Cen MT" w:cs="TimesNewRomanPSMT"/>
          </w:rPr>
          <w:t>rappelait</w:t>
        </w:r>
      </w:hyperlink>
      <w:r w:rsidRPr="008B6505">
        <w:rPr>
          <w:rFonts w:ascii="Tw Cen MT" w:hAnsi="Tw Cen MT" w:cs="TimesNewRomanPSMT"/>
        </w:rPr>
        <w:t xml:space="preserve"> elle-même en 2016 la nécessité de protéger la liberté d’expression, « notamment concernant les actions BDS » entreprises dans les Etats membres, même lorsque des idées </w:t>
      </w:r>
      <w:r w:rsidRPr="008B6505">
        <w:rPr>
          <w:rFonts w:ascii="Tw Cen MT" w:hAnsi="Tw Cen MT"/>
        </w:rPr>
        <w:t xml:space="preserve">« offensent, choquent ou dérangent l’Etat ou tout secteur de la population », </w:t>
      </w:r>
      <w:r w:rsidRPr="008B6505">
        <w:rPr>
          <w:rFonts w:ascii="Tw Cen MT" w:hAnsi="Tw Cen MT" w:cs="TimesNewRomanPSMT"/>
        </w:rPr>
        <w:t>répondant à une question écrite d’une députée européenne</w:t>
      </w:r>
      <w:r w:rsidRPr="008B6505">
        <w:rPr>
          <w:rStyle w:val="lev"/>
          <w:rFonts w:ascii="Tw Cen MT" w:hAnsi="Tw Cen MT"/>
          <w:b w:val="0"/>
        </w:rPr>
        <w:t xml:space="preserve">. </w:t>
      </w:r>
    </w:p>
    <w:p w:rsidR="003B0303" w:rsidRPr="009B4A3A" w:rsidRDefault="003B0303" w:rsidP="003B0303">
      <w:pPr>
        <w:autoSpaceDE w:val="0"/>
        <w:autoSpaceDN w:val="0"/>
        <w:adjustRightInd w:val="0"/>
        <w:jc w:val="both"/>
        <w:rPr>
          <w:rFonts w:ascii="Tw Cen MT" w:hAnsi="Tw Cen MT" w:cs="TimesNewRomanPSMT"/>
        </w:rPr>
      </w:pPr>
    </w:p>
    <w:p w:rsidR="003B0303" w:rsidRPr="009B4A3A" w:rsidRDefault="003B0303" w:rsidP="003B0303">
      <w:pPr>
        <w:autoSpaceDE w:val="0"/>
        <w:autoSpaceDN w:val="0"/>
        <w:adjustRightInd w:val="0"/>
        <w:jc w:val="both"/>
        <w:rPr>
          <w:rFonts w:ascii="Tw Cen MT" w:hAnsi="Tw Cen MT" w:cs="TimesNewRomanPSMT"/>
        </w:rPr>
      </w:pPr>
      <w:r w:rsidRPr="009B4A3A">
        <w:rPr>
          <w:rFonts w:ascii="Tw Cen MT" w:hAnsi="Tw Cen MT" w:cs="TimesNewRomanPSMT"/>
        </w:rPr>
        <w:t>Mais l’Etat d’Israël est prêt à utiliser tous les moyens, financiers, diplomatiques ou autres pour s’opposer à ce droit</w:t>
      </w:r>
      <w:r w:rsidRPr="009B4A3A">
        <w:rPr>
          <w:rStyle w:val="Appelnotedebasdep"/>
          <w:rFonts w:ascii="Tw Cen MT" w:hAnsi="Tw Cen MT" w:cs="TimesNewRomanPSMT"/>
        </w:rPr>
        <w:footnoteReference w:id="2"/>
      </w:r>
      <w:r w:rsidRPr="009B4A3A">
        <w:rPr>
          <w:rFonts w:ascii="Tw Cen MT" w:hAnsi="Tw Cen MT" w:cs="TimesNewRomanPSMT"/>
        </w:rPr>
        <w:t xml:space="preserve">, ce qui constitue une ingérence dans </w:t>
      </w:r>
      <w:r>
        <w:rPr>
          <w:rFonts w:ascii="Tw Cen MT" w:hAnsi="Tw Cen MT" w:cs="TimesNewRomanPSMT"/>
        </w:rPr>
        <w:t>la</w:t>
      </w:r>
      <w:r w:rsidRPr="009B4A3A">
        <w:rPr>
          <w:rFonts w:ascii="Tw Cen MT" w:hAnsi="Tw Cen MT" w:cs="TimesNewRomanPSMT"/>
        </w:rPr>
        <w:t xml:space="preserve"> politique intérieure</w:t>
      </w:r>
      <w:r>
        <w:rPr>
          <w:rFonts w:ascii="Tw Cen MT" w:hAnsi="Tw Cen MT" w:cs="TimesNewRomanPSMT"/>
        </w:rPr>
        <w:t xml:space="preserve"> de la France</w:t>
      </w:r>
      <w:r w:rsidRPr="009B4A3A">
        <w:rPr>
          <w:rFonts w:ascii="Tw Cen MT" w:hAnsi="Tw Cen MT" w:cs="TimesNewRomanPSMT"/>
        </w:rPr>
        <w:t>, y compris par l’instrumentalisation de mouvements communautaires nationaux qui tentent d’assimiler toute critique de la politique de l’Etat d'Israël à de l'antisémitisme, au risque de mettre à mal les valeurs du « vivre ensemble ».</w:t>
      </w:r>
    </w:p>
    <w:p w:rsidR="003B0303" w:rsidRPr="009B4A3A" w:rsidRDefault="003B0303" w:rsidP="003B0303">
      <w:pPr>
        <w:autoSpaceDE w:val="0"/>
        <w:autoSpaceDN w:val="0"/>
        <w:adjustRightInd w:val="0"/>
        <w:jc w:val="both"/>
        <w:rPr>
          <w:rFonts w:ascii="Tw Cen MT" w:hAnsi="Tw Cen MT" w:cs="TimesNewRomanPSMT"/>
        </w:rPr>
      </w:pPr>
    </w:p>
    <w:p w:rsidR="003B0303" w:rsidRDefault="003B0303" w:rsidP="003B0303">
      <w:pPr>
        <w:autoSpaceDE w:val="0"/>
        <w:autoSpaceDN w:val="0"/>
        <w:adjustRightInd w:val="0"/>
        <w:jc w:val="both"/>
        <w:rPr>
          <w:rFonts w:ascii="Tw Cen MT" w:hAnsi="Tw Cen MT" w:cs="Calibri"/>
          <w:lang w:val="fr"/>
        </w:rPr>
      </w:pPr>
      <w:r>
        <w:rPr>
          <w:rFonts w:ascii="Tw Cen MT" w:hAnsi="Tw Cen MT" w:cs="Calibri"/>
          <w:lang w:val="fr"/>
        </w:rPr>
        <w:t>L</w:t>
      </w:r>
      <w:r w:rsidRPr="009B4A3A">
        <w:rPr>
          <w:rFonts w:ascii="Tw Cen MT" w:hAnsi="Tw Cen MT" w:cs="Calibri"/>
          <w:lang w:val="fr"/>
        </w:rPr>
        <w:t xml:space="preserve">a circulaire CRIM-AP n°09-900-A4 dite « Alliot-Marie » du 12 février 2010 incite à poursuivre les individus appelant au </w:t>
      </w:r>
      <w:r>
        <w:rPr>
          <w:rFonts w:ascii="Tw Cen MT" w:hAnsi="Tw Cen MT" w:cs="Calibri"/>
          <w:lang w:val="fr"/>
        </w:rPr>
        <w:t xml:space="preserve">boycott de produits israéliens. </w:t>
      </w:r>
      <w:r w:rsidRPr="009B4A3A">
        <w:rPr>
          <w:rFonts w:ascii="Tw Cen MT" w:hAnsi="Tw Cen MT" w:cs="Calibri"/>
          <w:lang w:val="fr"/>
        </w:rPr>
        <w:t xml:space="preserve">Depuis, la Cour de Cassation a rendu plusieurs arrêts allant en ce sens en octobre 2015 et plus de 30 militants ont été poursuivis en justice. La France est devenue le seul pays au monde à criminaliser l’appel au boycott, </w:t>
      </w:r>
      <w:r>
        <w:rPr>
          <w:rFonts w:ascii="Tw Cen MT" w:hAnsi="Tw Cen MT" w:cs="Calibri"/>
          <w:lang w:val="fr"/>
        </w:rPr>
        <w:t>suite à</w:t>
      </w:r>
      <w:r w:rsidRPr="009B4A3A">
        <w:rPr>
          <w:rFonts w:ascii="Tw Cen MT" w:hAnsi="Tw Cen MT" w:cs="Calibri"/>
          <w:lang w:val="fr"/>
        </w:rPr>
        <w:t xml:space="preserve"> une interprétation de la loi française tout à fait contestable, comme l’ont démontré plusieurs juristes</w:t>
      </w:r>
      <w:r w:rsidRPr="009B4A3A">
        <w:rPr>
          <w:rStyle w:val="Appelnotedebasdep"/>
          <w:rFonts w:ascii="Tw Cen MT" w:hAnsi="Tw Cen MT" w:cs="Calibri"/>
          <w:lang w:val="fr"/>
        </w:rPr>
        <w:footnoteReference w:id="3"/>
      </w:r>
      <w:r w:rsidRPr="009B4A3A">
        <w:rPr>
          <w:rFonts w:ascii="Tw Cen MT" w:hAnsi="Tw Cen MT" w:cs="Calibri"/>
          <w:lang w:val="fr"/>
        </w:rPr>
        <w:t xml:space="preserve">. </w:t>
      </w:r>
      <w:r>
        <w:rPr>
          <w:rFonts w:ascii="Tw Cen MT" w:hAnsi="Tw Cen MT" w:cs="Calibri"/>
          <w:lang w:val="fr"/>
        </w:rPr>
        <w:t>Malgré le discours dominant, le boycott n’est pas illégal. Le dernier</w:t>
      </w:r>
      <w:r w:rsidRPr="009B4A3A">
        <w:rPr>
          <w:rFonts w:ascii="Tw Cen MT" w:hAnsi="Tw Cen MT" w:cs="Calibri"/>
          <w:lang w:val="fr"/>
        </w:rPr>
        <w:t xml:space="preserve"> ministre de la justice </w:t>
      </w:r>
      <w:r>
        <w:rPr>
          <w:rFonts w:ascii="Tw Cen MT" w:hAnsi="Tw Cen MT" w:cs="Calibri"/>
          <w:lang w:val="fr"/>
        </w:rPr>
        <w:t xml:space="preserve">du quinquennat de François Hollande - </w:t>
      </w:r>
      <w:r w:rsidRPr="009B4A3A">
        <w:rPr>
          <w:rFonts w:ascii="Tw Cen MT" w:hAnsi="Tw Cen MT" w:cs="Calibri"/>
          <w:lang w:val="fr"/>
        </w:rPr>
        <w:t xml:space="preserve">Jean-Jacques </w:t>
      </w:r>
      <w:proofErr w:type="spellStart"/>
      <w:r w:rsidRPr="009B4A3A">
        <w:rPr>
          <w:rFonts w:ascii="Tw Cen MT" w:hAnsi="Tw Cen MT" w:cs="Calibri"/>
          <w:lang w:val="fr"/>
        </w:rPr>
        <w:t>Urvoas</w:t>
      </w:r>
      <w:proofErr w:type="spellEnd"/>
      <w:r>
        <w:rPr>
          <w:rFonts w:ascii="Tw Cen MT" w:hAnsi="Tw Cen MT" w:cs="Calibri"/>
          <w:lang w:val="fr"/>
        </w:rPr>
        <w:t xml:space="preserve"> - </w:t>
      </w:r>
      <w:r w:rsidRPr="009B4A3A">
        <w:rPr>
          <w:rFonts w:ascii="Tw Cen MT" w:hAnsi="Tw Cen MT" w:cs="Calibri"/>
          <w:lang w:val="fr"/>
        </w:rPr>
        <w:t>préconisait lui-même en 2015 l’abrogation de la circulaire « Alliot-Marie »</w:t>
      </w:r>
      <w:r>
        <w:rPr>
          <w:rFonts w:ascii="Tw Cen MT" w:hAnsi="Tw Cen MT" w:cs="Calibri"/>
          <w:lang w:val="fr"/>
        </w:rPr>
        <w:t>, afin de faire cesser de telles condamnations.</w:t>
      </w:r>
    </w:p>
    <w:p w:rsidR="003B0303" w:rsidRDefault="003B0303" w:rsidP="003B0303">
      <w:pPr>
        <w:autoSpaceDE w:val="0"/>
        <w:autoSpaceDN w:val="0"/>
        <w:adjustRightInd w:val="0"/>
        <w:jc w:val="both"/>
        <w:rPr>
          <w:rFonts w:ascii="Tw Cen MT" w:hAnsi="Tw Cen MT" w:cs="Calibri"/>
          <w:lang w:val="fr"/>
        </w:rPr>
      </w:pPr>
    </w:p>
    <w:p w:rsidR="003B0303" w:rsidRPr="0011610F" w:rsidRDefault="003B0303" w:rsidP="003B0303">
      <w:pPr>
        <w:autoSpaceDE w:val="0"/>
        <w:autoSpaceDN w:val="0"/>
        <w:adjustRightInd w:val="0"/>
        <w:jc w:val="both"/>
        <w:rPr>
          <w:rFonts w:ascii="Tw Cen MT" w:hAnsi="Tw Cen MT" w:cs="TimesNewRomanPSMT"/>
        </w:rPr>
      </w:pPr>
      <w:r>
        <w:rPr>
          <w:rFonts w:ascii="Tw Cen MT" w:hAnsi="Tw Cen MT" w:cs="TimesNewRomanPSMT"/>
        </w:rPr>
        <w:t xml:space="preserve">De manière plus large, le mouvement de solidarité avec la Palestine est attaqué de diverses manières dans le but de diminuer ses capacités d’action et de nuire à son efficacité. Cela se manifeste par des pressions sur les financements des organisations, des campagnes de </w:t>
      </w:r>
      <w:proofErr w:type="spellStart"/>
      <w:r>
        <w:rPr>
          <w:rFonts w:ascii="Tw Cen MT" w:hAnsi="Tw Cen MT" w:cs="TimesNewRomanPSMT"/>
        </w:rPr>
        <w:t>délégitimation</w:t>
      </w:r>
      <w:proofErr w:type="spellEnd"/>
      <w:r>
        <w:rPr>
          <w:rFonts w:ascii="Tw Cen MT" w:hAnsi="Tw Cen MT" w:cs="TimesNewRomanPSMT"/>
        </w:rPr>
        <w:t xml:space="preserve"> d’ONG, d’élus ou de personnalités par des institutions, groupes ou médias, des menaces graves et attaques personnelles à l’encontre de militants, des pressions administratives via des interdictions d’événements et manifestations etc.</w:t>
      </w:r>
    </w:p>
    <w:p w:rsidR="003B0303" w:rsidRDefault="003B0303" w:rsidP="003B0303">
      <w:pPr>
        <w:autoSpaceDE w:val="0"/>
        <w:autoSpaceDN w:val="0"/>
        <w:adjustRightInd w:val="0"/>
        <w:jc w:val="both"/>
        <w:rPr>
          <w:rFonts w:ascii="Tw Cen MT" w:hAnsi="Tw Cen MT" w:cs="Calibri"/>
        </w:rPr>
      </w:pPr>
    </w:p>
    <w:p w:rsidR="003B0303" w:rsidRPr="00556F9D" w:rsidRDefault="003B0303" w:rsidP="003B0303">
      <w:pPr>
        <w:autoSpaceDE w:val="0"/>
        <w:autoSpaceDN w:val="0"/>
        <w:adjustRightInd w:val="0"/>
        <w:jc w:val="both"/>
        <w:rPr>
          <w:rFonts w:ascii="Tw Cen MT" w:hAnsi="Tw Cen MT" w:cs="Calibri"/>
        </w:rPr>
      </w:pPr>
    </w:p>
    <w:p w:rsidR="003B0303" w:rsidRDefault="003B0303" w:rsidP="003B0303">
      <w:pPr>
        <w:autoSpaceDE w:val="0"/>
        <w:autoSpaceDN w:val="0"/>
        <w:adjustRightInd w:val="0"/>
        <w:jc w:val="both"/>
        <w:rPr>
          <w:rFonts w:ascii="Tw Cen MT" w:hAnsi="Tw Cen MT" w:cs="Calibri"/>
          <w:b/>
          <w:color w:val="10AC04"/>
          <w:sz w:val="26"/>
          <w:szCs w:val="26"/>
          <w:lang w:val="fr"/>
        </w:rPr>
      </w:pPr>
    </w:p>
    <w:p w:rsidR="003B0303" w:rsidRDefault="003B0303" w:rsidP="003B0303">
      <w:pPr>
        <w:autoSpaceDE w:val="0"/>
        <w:autoSpaceDN w:val="0"/>
        <w:adjustRightInd w:val="0"/>
        <w:jc w:val="both"/>
        <w:rPr>
          <w:rFonts w:ascii="Tw Cen MT" w:hAnsi="Tw Cen MT" w:cs="Calibri"/>
          <w:b/>
          <w:color w:val="10AC04"/>
          <w:sz w:val="26"/>
          <w:szCs w:val="26"/>
          <w:lang w:val="fr"/>
        </w:rPr>
      </w:pPr>
    </w:p>
    <w:p w:rsidR="003B0303" w:rsidRDefault="003B0303" w:rsidP="003B0303">
      <w:pPr>
        <w:autoSpaceDE w:val="0"/>
        <w:autoSpaceDN w:val="0"/>
        <w:adjustRightInd w:val="0"/>
        <w:jc w:val="both"/>
        <w:rPr>
          <w:rFonts w:ascii="Tw Cen MT" w:hAnsi="Tw Cen MT" w:cs="Calibri"/>
          <w:b/>
          <w:color w:val="10AC04"/>
          <w:sz w:val="26"/>
          <w:szCs w:val="26"/>
          <w:lang w:val="fr"/>
        </w:rPr>
      </w:pPr>
    </w:p>
    <w:p w:rsidR="003B0303" w:rsidRPr="00D56314" w:rsidRDefault="003B0303" w:rsidP="003B0303">
      <w:pPr>
        <w:autoSpaceDE w:val="0"/>
        <w:autoSpaceDN w:val="0"/>
        <w:adjustRightInd w:val="0"/>
        <w:jc w:val="both"/>
        <w:rPr>
          <w:rFonts w:ascii="Tw Cen MT" w:hAnsi="Tw Cen MT" w:cs="Calibri"/>
          <w:b/>
          <w:color w:val="10AC04"/>
          <w:sz w:val="26"/>
          <w:szCs w:val="26"/>
          <w:lang w:val="fr"/>
        </w:rPr>
      </w:pPr>
      <w:r w:rsidRPr="00D56314">
        <w:rPr>
          <w:rFonts w:ascii="Tw Cen MT" w:hAnsi="Tw Cen MT" w:cs="Calibri"/>
          <w:b/>
          <w:color w:val="10AC04"/>
          <w:sz w:val="26"/>
          <w:szCs w:val="26"/>
          <w:lang w:val="fr"/>
        </w:rPr>
        <w:t>Demande phare </w:t>
      </w:r>
    </w:p>
    <w:p w:rsidR="003B0303" w:rsidRPr="00E53A2E" w:rsidRDefault="003B0303" w:rsidP="003B0303">
      <w:pPr>
        <w:autoSpaceDE w:val="0"/>
        <w:autoSpaceDN w:val="0"/>
        <w:adjustRightInd w:val="0"/>
        <w:jc w:val="both"/>
        <w:rPr>
          <w:rFonts w:ascii="Tw Cen MT" w:hAnsi="Tw Cen MT" w:cs="Calibri"/>
          <w:b/>
          <w:sz w:val="28"/>
          <w:lang w:val="fr"/>
        </w:rPr>
      </w:pPr>
    </w:p>
    <w:p w:rsidR="003B0303" w:rsidRDefault="003B0303" w:rsidP="003B0303">
      <w:pPr>
        <w:autoSpaceDE w:val="0"/>
        <w:autoSpaceDN w:val="0"/>
        <w:adjustRightInd w:val="0"/>
        <w:jc w:val="both"/>
        <w:rPr>
          <w:rFonts w:ascii="Tw Cen MT" w:hAnsi="Tw Cen MT" w:cs="Calibri"/>
          <w:color w:val="10AC04"/>
          <w:lang w:val="fr"/>
        </w:rPr>
      </w:pPr>
      <w:r w:rsidRPr="0047084E">
        <w:rPr>
          <w:rFonts w:ascii="Tw Cen MT" w:hAnsi="Tw Cen MT" w:cs="Calibri"/>
          <w:b/>
          <w:lang w:val="fr"/>
        </w:rPr>
        <w:t>G</w:t>
      </w:r>
      <w:r w:rsidRPr="00556F9D">
        <w:rPr>
          <w:rFonts w:ascii="Tw Cen MT" w:hAnsi="Tw Cen MT" w:cs="Calibri"/>
          <w:b/>
          <w:lang w:val="fr"/>
        </w:rPr>
        <w:t>arantir la liberté d’expression des individus et organisations manifestant leur solidarité avec le peuple palestinien.</w:t>
      </w:r>
    </w:p>
    <w:p w:rsidR="003B0303" w:rsidRPr="00E53A2E" w:rsidRDefault="003B0303" w:rsidP="003B0303">
      <w:pPr>
        <w:autoSpaceDE w:val="0"/>
        <w:autoSpaceDN w:val="0"/>
        <w:adjustRightInd w:val="0"/>
        <w:jc w:val="both"/>
        <w:rPr>
          <w:rFonts w:ascii="Tw Cen MT" w:hAnsi="Tw Cen MT" w:cs="Calibri"/>
          <w:sz w:val="28"/>
          <w:lang w:val="fr"/>
        </w:rPr>
      </w:pPr>
    </w:p>
    <w:p w:rsidR="003B0303" w:rsidRPr="00D56314" w:rsidRDefault="003B0303" w:rsidP="003B0303">
      <w:pPr>
        <w:autoSpaceDE w:val="0"/>
        <w:autoSpaceDN w:val="0"/>
        <w:adjustRightInd w:val="0"/>
        <w:jc w:val="both"/>
        <w:rPr>
          <w:rFonts w:ascii="Tw Cen MT" w:hAnsi="Tw Cen MT" w:cs="Calibri"/>
          <w:b/>
          <w:color w:val="10AC04"/>
          <w:sz w:val="26"/>
          <w:szCs w:val="26"/>
          <w:lang w:val="fr"/>
        </w:rPr>
      </w:pPr>
      <w:r w:rsidRPr="00D56314">
        <w:rPr>
          <w:rFonts w:ascii="Tw Cen MT" w:hAnsi="Tw Cen MT" w:cs="Calibri"/>
          <w:b/>
          <w:color w:val="10AC04"/>
          <w:sz w:val="26"/>
          <w:szCs w:val="26"/>
          <w:lang w:val="fr"/>
        </w:rPr>
        <w:t>Comment ?</w:t>
      </w:r>
    </w:p>
    <w:p w:rsidR="003B0303" w:rsidRPr="00E53A2E" w:rsidRDefault="003B0303" w:rsidP="003B0303">
      <w:pPr>
        <w:autoSpaceDE w:val="0"/>
        <w:autoSpaceDN w:val="0"/>
        <w:adjustRightInd w:val="0"/>
        <w:jc w:val="both"/>
        <w:rPr>
          <w:rFonts w:ascii="Tw Cen MT" w:hAnsi="Tw Cen MT" w:cs="Calibri"/>
          <w:b/>
          <w:color w:val="10AC04"/>
          <w:sz w:val="28"/>
          <w:lang w:val="fr"/>
        </w:rPr>
      </w:pPr>
    </w:p>
    <w:p w:rsidR="003B0303" w:rsidRPr="002C548D" w:rsidRDefault="003B0303" w:rsidP="003B0303">
      <w:pPr>
        <w:numPr>
          <w:ilvl w:val="0"/>
          <w:numId w:val="4"/>
        </w:numPr>
        <w:autoSpaceDE w:val="0"/>
        <w:autoSpaceDN w:val="0"/>
        <w:adjustRightInd w:val="0"/>
        <w:jc w:val="both"/>
        <w:rPr>
          <w:rFonts w:ascii="Tw Cen MT" w:hAnsi="Tw Cen MT" w:cs="Calibri"/>
          <w:lang w:val="fr"/>
        </w:rPr>
      </w:pPr>
      <w:r>
        <w:rPr>
          <w:rFonts w:ascii="Tw Cen MT" w:hAnsi="Tw Cen MT" w:cs="Calibri"/>
          <w:lang w:val="fr"/>
        </w:rPr>
        <w:t xml:space="preserve">En demandant l’abrogation de la circulaire </w:t>
      </w:r>
      <w:r w:rsidRPr="009B4A3A">
        <w:rPr>
          <w:rFonts w:ascii="Tw Cen MT" w:hAnsi="Tw Cen MT" w:cs="Calibri"/>
          <w:lang w:val="fr"/>
        </w:rPr>
        <w:t xml:space="preserve">CRIM-AP n°09-900-A4 dite « Alliot-Marie » du 12 </w:t>
      </w:r>
      <w:r w:rsidRPr="002C548D">
        <w:rPr>
          <w:rFonts w:ascii="Tw Cen MT" w:hAnsi="Tw Cen MT" w:cs="Calibri"/>
          <w:lang w:val="fr"/>
        </w:rPr>
        <w:t>février 2010. Dès le début de la législature, nous demandons aux députés d’interpeller massivement le ministère de la Justice par le biais de questions écrites et/ou orales ou de courriers.</w:t>
      </w:r>
    </w:p>
    <w:p w:rsidR="003B0303" w:rsidRPr="002C548D" w:rsidRDefault="003B0303" w:rsidP="003B0303">
      <w:pPr>
        <w:numPr>
          <w:ilvl w:val="0"/>
          <w:numId w:val="4"/>
        </w:numPr>
        <w:autoSpaceDE w:val="0"/>
        <w:autoSpaceDN w:val="0"/>
        <w:adjustRightInd w:val="0"/>
        <w:jc w:val="both"/>
        <w:rPr>
          <w:rFonts w:ascii="Tw Cen MT" w:hAnsi="Tw Cen MT" w:cs="Calibri"/>
          <w:lang w:val="fr"/>
        </w:rPr>
      </w:pPr>
      <w:r w:rsidRPr="002C548D">
        <w:rPr>
          <w:rFonts w:ascii="Tw Cen MT" w:hAnsi="Tw Cen MT" w:cs="Calibri"/>
          <w:lang w:val="fr"/>
        </w:rPr>
        <w:t xml:space="preserve">En interpellant le gouvernement, en particulier le ministère de la Justice sur les différentes attaques subies par les défenseurs des droits des Palestiniens et en leur demandant de prendre les mesures appropriées. Exemple : interdire le groupe violent « Ligue de défense juive » et de s’assurer que les enquêtes concernant les menaces et intimidations sur ces défenseurs du droit des Palestiniens aboutissent effectivement. </w:t>
      </w:r>
    </w:p>
    <w:p w:rsidR="003B0303" w:rsidRPr="002C548D" w:rsidDel="00A173FD" w:rsidRDefault="003B0303" w:rsidP="003B0303">
      <w:pPr>
        <w:numPr>
          <w:ilvl w:val="0"/>
          <w:numId w:val="4"/>
        </w:numPr>
        <w:autoSpaceDE w:val="0"/>
        <w:autoSpaceDN w:val="0"/>
        <w:adjustRightInd w:val="0"/>
        <w:jc w:val="both"/>
        <w:rPr>
          <w:rFonts w:ascii="Tw Cen MT" w:hAnsi="Tw Cen MT" w:cs="Calibri"/>
          <w:lang w:val="fr"/>
        </w:rPr>
      </w:pPr>
      <w:r w:rsidRPr="002C548D">
        <w:rPr>
          <w:rFonts w:ascii="Tw Cen MT" w:hAnsi="Tw Cen MT"/>
          <w:lang w:val="fr"/>
        </w:rPr>
        <w:t>En veillant à ce que les autorités n’utilisent pas abusivement la notion de troubles à l’ordre public pour museler les manifestations publiques du mouvement de solidarité avec le peuple palestinien.</w:t>
      </w:r>
      <w:r w:rsidRPr="002C548D">
        <w:rPr>
          <w:rFonts w:ascii="Tw Cen MT" w:hAnsi="Tw Cen MT"/>
          <w:i/>
          <w:lang w:val="fr"/>
        </w:rPr>
        <w:t xml:space="preserve"> </w:t>
      </w:r>
    </w:p>
    <w:p w:rsidR="003B0303" w:rsidRPr="002C548D" w:rsidRDefault="003B0303" w:rsidP="003B0303">
      <w:pPr>
        <w:rPr>
          <w:rFonts w:ascii="Tw Cen MT" w:hAnsi="Tw Cen MT"/>
          <w:lang w:val="fr"/>
        </w:rPr>
      </w:pPr>
      <w:r w:rsidRPr="002C548D">
        <w:rPr>
          <w:rFonts w:ascii="Tw Cen MT" w:hAnsi="Tw Cen MT"/>
          <w:lang w:val="fr"/>
        </w:rPr>
        <w:br w:type="page"/>
      </w:r>
    </w:p>
    <w:p w:rsidR="003B0303" w:rsidRDefault="003B0303" w:rsidP="003B0303">
      <w:pPr>
        <w:pStyle w:val="TM1"/>
        <w:spacing w:after="0"/>
        <w:rPr>
          <w:sz w:val="26"/>
        </w:rPr>
      </w:pPr>
    </w:p>
    <w:p w:rsidR="003B0303" w:rsidRDefault="003B0303" w:rsidP="003B0303">
      <w:pPr>
        <w:pStyle w:val="TM1"/>
        <w:spacing w:after="0"/>
        <w:rPr>
          <w:sz w:val="26"/>
        </w:rPr>
      </w:pPr>
    </w:p>
    <w:p w:rsidR="003B0303" w:rsidRDefault="003B0303" w:rsidP="003B0303">
      <w:pPr>
        <w:pStyle w:val="TM1"/>
        <w:spacing w:after="0"/>
        <w:rPr>
          <w:sz w:val="26"/>
        </w:rPr>
      </w:pPr>
      <w:r w:rsidRPr="0011610F">
        <w:rPr>
          <w:sz w:val="26"/>
        </w:rPr>
        <w:t xml:space="preserve">2) </w:t>
      </w:r>
      <w:bookmarkEnd w:id="0"/>
      <w:r>
        <w:rPr>
          <w:sz w:val="26"/>
        </w:rPr>
        <w:t>Combattrez-</w:t>
      </w:r>
      <w:r w:rsidRPr="0011610F">
        <w:rPr>
          <w:sz w:val="26"/>
        </w:rPr>
        <w:t xml:space="preserve">vous </w:t>
      </w:r>
      <w:r>
        <w:rPr>
          <w:sz w:val="26"/>
        </w:rPr>
        <w:t>toute</w:t>
      </w:r>
      <w:r w:rsidRPr="0011610F">
        <w:rPr>
          <w:sz w:val="26"/>
        </w:rPr>
        <w:t xml:space="preserve"> complicité de la </w:t>
      </w:r>
      <w:r>
        <w:rPr>
          <w:sz w:val="26"/>
        </w:rPr>
        <w:t>France (Etat et entreprises)</w:t>
      </w:r>
      <w:r w:rsidRPr="0011610F">
        <w:rPr>
          <w:sz w:val="26"/>
        </w:rPr>
        <w:t xml:space="preserve"> avec la colonisation israélienne </w:t>
      </w:r>
      <w:r>
        <w:rPr>
          <w:sz w:val="26"/>
        </w:rPr>
        <w:t>d</w:t>
      </w:r>
      <w:r w:rsidR="007250FD">
        <w:rPr>
          <w:sz w:val="26"/>
        </w:rPr>
        <w:t>u Territoire palestinien occupé</w:t>
      </w:r>
      <w:r>
        <w:rPr>
          <w:sz w:val="26"/>
        </w:rPr>
        <w:t xml:space="preserve"> </w:t>
      </w:r>
      <w:r w:rsidRPr="0011610F">
        <w:rPr>
          <w:sz w:val="26"/>
        </w:rPr>
        <w:t xml:space="preserve">? </w:t>
      </w:r>
    </w:p>
    <w:p w:rsidR="003B0303" w:rsidRPr="00383AED" w:rsidRDefault="003B0303" w:rsidP="003B0303">
      <w:pPr>
        <w:outlineLvl w:val="0"/>
        <w:rPr>
          <w:rFonts w:eastAsia="Times New Roman" w:cs="Calibri"/>
          <w:b/>
          <w:bCs/>
          <w:color w:val="6AA343"/>
          <w:kern w:val="36"/>
          <w:sz w:val="26"/>
          <w:szCs w:val="26"/>
        </w:rPr>
      </w:pPr>
      <w:r w:rsidRPr="00383AED">
        <w:rPr>
          <w:rFonts w:eastAsia="Times New Roman" w:cs="Calibri"/>
          <w:bCs/>
          <w:noProof/>
          <w:kern w:val="36"/>
          <w:lang w:eastAsia="fr-FR"/>
        </w:rPr>
        <w:drawing>
          <wp:anchor distT="36576" distB="36576" distL="36576" distR="36576" simplePos="0" relativeHeight="251661312" behindDoc="0" locked="0" layoutInCell="1" allowOverlap="1">
            <wp:simplePos x="0" y="0"/>
            <wp:positionH relativeFrom="column">
              <wp:posOffset>-348615</wp:posOffset>
            </wp:positionH>
            <wp:positionV relativeFrom="paragraph">
              <wp:posOffset>158115</wp:posOffset>
            </wp:positionV>
            <wp:extent cx="276225" cy="320675"/>
            <wp:effectExtent l="0" t="0" r="952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303" w:rsidRPr="00383AED" w:rsidRDefault="003B0303" w:rsidP="003B0303">
      <w:pPr>
        <w:autoSpaceDE w:val="0"/>
        <w:autoSpaceDN w:val="0"/>
        <w:adjustRightInd w:val="0"/>
        <w:jc w:val="both"/>
        <w:rPr>
          <w:rFonts w:ascii="Tw Cen MT" w:hAnsi="Tw Cen MT" w:cs="TimesNewRomanPSMT"/>
          <w:b/>
        </w:rPr>
      </w:pPr>
      <w:r w:rsidRPr="00383AED">
        <w:rPr>
          <w:rFonts w:ascii="Tw Cen MT" w:hAnsi="Tw Cen MT" w:cs="TimesNewRomanPSMT"/>
          <w:b/>
          <w:i/>
        </w:rPr>
        <w:t xml:space="preserve">La colonisation ne doit pas être favorisée et toute relation économique, financière ou institutionnelle avec les colonies viole la Quatrième Convention de Genève. En particulier, la France et l’UE ne doivent plus tolérer que des produits fabriqués dans les colonies israéliennes soient importés et vendus sur le marché européen comme produits « Made in </w:t>
      </w:r>
      <w:proofErr w:type="spellStart"/>
      <w:r w:rsidRPr="00383AED">
        <w:rPr>
          <w:rFonts w:ascii="Tw Cen MT" w:hAnsi="Tw Cen MT" w:cs="TimesNewRomanPSMT"/>
          <w:b/>
          <w:i/>
        </w:rPr>
        <w:t>Israel</w:t>
      </w:r>
      <w:proofErr w:type="spellEnd"/>
      <w:r w:rsidRPr="00383AED">
        <w:rPr>
          <w:rFonts w:ascii="Tw Cen MT" w:hAnsi="Tw Cen MT" w:cs="TimesNewRomanPSMT"/>
          <w:b/>
          <w:i/>
        </w:rPr>
        <w:t xml:space="preserve"> », de même qu’aucune entreprise française ne doit contribuer à et tirer profit de l’occupation et de l’exploitation illégales par Israël d’un territoire et d’une population. </w:t>
      </w:r>
    </w:p>
    <w:p w:rsidR="003B0303" w:rsidRPr="00E53A2E" w:rsidRDefault="003B0303" w:rsidP="003B0303">
      <w:pPr>
        <w:autoSpaceDE w:val="0"/>
        <w:autoSpaceDN w:val="0"/>
        <w:adjustRightInd w:val="0"/>
        <w:jc w:val="both"/>
        <w:rPr>
          <w:rFonts w:ascii="Tw Cen MT" w:hAnsi="Tw Cen MT" w:cs="TimesNewRomanPSMT"/>
          <w:b/>
          <w:sz w:val="28"/>
        </w:rPr>
      </w:pPr>
    </w:p>
    <w:p w:rsidR="003B0303" w:rsidRPr="00D56314" w:rsidRDefault="003B0303" w:rsidP="003B0303">
      <w:pPr>
        <w:rPr>
          <w:rFonts w:ascii="Tw Cen MT" w:hAnsi="Tw Cen MT"/>
          <w:b/>
          <w:color w:val="10AC04"/>
          <w:sz w:val="26"/>
          <w:szCs w:val="26"/>
        </w:rPr>
      </w:pPr>
      <w:r w:rsidRPr="00D56314">
        <w:rPr>
          <w:rFonts w:ascii="Tw Cen MT" w:hAnsi="Tw Cen MT"/>
          <w:b/>
          <w:color w:val="10AC04"/>
          <w:sz w:val="26"/>
          <w:szCs w:val="26"/>
        </w:rPr>
        <w:t>Contexte</w:t>
      </w:r>
    </w:p>
    <w:p w:rsidR="003B0303" w:rsidRPr="00383AED" w:rsidRDefault="003B0303" w:rsidP="003B0303">
      <w:pPr>
        <w:rPr>
          <w:rFonts w:ascii="Tw Cen MT" w:hAnsi="Tw Cen MT"/>
          <w:b/>
          <w:color w:val="10AC04"/>
          <w:sz w:val="28"/>
        </w:rPr>
      </w:pPr>
    </w:p>
    <w:p w:rsidR="003B0303" w:rsidRPr="00383AED" w:rsidRDefault="003B0303" w:rsidP="003B0303">
      <w:pPr>
        <w:jc w:val="both"/>
        <w:rPr>
          <w:rFonts w:ascii="Tw Cen MT" w:eastAsia="Times New Roman" w:hAnsi="Tw Cen MT"/>
        </w:rPr>
      </w:pPr>
      <w:r w:rsidRPr="00383AED">
        <w:rPr>
          <w:rFonts w:ascii="Tw Cen MT" w:hAnsi="Tw Cen MT" w:cs="TimesNewRomanPSMT"/>
        </w:rPr>
        <w:t>De nombreux produits agricoles et industriels présents en France et sur le marché européen proviennent des colonies israéliennes présentes illégalement en Cisjordanie</w:t>
      </w:r>
      <w:r w:rsidRPr="00383AED">
        <w:rPr>
          <w:rFonts w:ascii="Tw Cen MT" w:hAnsi="Tw Cen MT" w:cs="TimesNewRomanPSMT"/>
          <w:vertAlign w:val="superscript"/>
        </w:rPr>
        <w:footnoteReference w:id="4"/>
      </w:r>
      <w:r w:rsidRPr="00E65D36">
        <w:rPr>
          <w:rFonts w:ascii="Tw Cen MT" w:hAnsi="Tw Cen MT" w:cs="TimesNewRomanPSMT"/>
          <w:i/>
        </w:rPr>
        <w:t>.</w:t>
      </w:r>
      <w:r w:rsidRPr="00383AED">
        <w:rPr>
          <w:rFonts w:ascii="Tw Cen MT" w:hAnsi="Tw Cen MT" w:cs="TimesNewRomanPSMT"/>
        </w:rPr>
        <w:t xml:space="preserve"> Le commerce de la France avec les colonies contribue à soutenir leur développement économique et territorial, ceci aux dépens des droits fondamentaux des Palestiniens, en contradiction avec </w:t>
      </w:r>
      <w:r>
        <w:rPr>
          <w:rFonts w:ascii="Tw Cen MT" w:hAnsi="Tw Cen MT" w:cs="TimesNewRomanPSMT"/>
        </w:rPr>
        <w:t xml:space="preserve">la politique officielle </w:t>
      </w:r>
      <w:r w:rsidRPr="00383AED">
        <w:rPr>
          <w:rFonts w:ascii="Tw Cen MT" w:hAnsi="Tw Cen MT" w:cs="TimesNewRomanPSMT"/>
        </w:rPr>
        <w:t xml:space="preserve">de la France </w:t>
      </w:r>
      <w:r>
        <w:rPr>
          <w:rFonts w:ascii="Tw Cen MT" w:hAnsi="Tw Cen MT" w:cs="TimesNewRomanPSMT"/>
        </w:rPr>
        <w:t xml:space="preserve">et toutes ses </w:t>
      </w:r>
      <w:r w:rsidRPr="00383AED">
        <w:rPr>
          <w:rFonts w:ascii="Tw Cen MT" w:hAnsi="Tw Cen MT" w:cs="TimesNewRomanPSMT"/>
        </w:rPr>
        <w:t>les déclarations</w:t>
      </w:r>
      <w:r>
        <w:rPr>
          <w:rFonts w:ascii="Tw Cen MT" w:hAnsi="Tw Cen MT" w:cs="TimesNewRomanPSMT"/>
        </w:rPr>
        <w:t>,</w:t>
      </w:r>
      <w:r w:rsidRPr="00383AED">
        <w:rPr>
          <w:rFonts w:ascii="Tw Cen MT" w:hAnsi="Tw Cen MT" w:cs="TimesNewRomanPSMT"/>
        </w:rPr>
        <w:t xml:space="preserve"> et surtout en contravention à ses obligations internationales. La France est en effet tenue par la Quatrième Convention de Genève de faire respecter le droit international humanitaire, et ne doit pas prêter aide ou assistance au maintien d’une situation illégale</w:t>
      </w:r>
      <w:r w:rsidRPr="00383AED">
        <w:rPr>
          <w:rFonts w:ascii="Tw Cen MT" w:hAnsi="Tw Cen MT" w:cs="TimesNewRomanPSMT"/>
          <w:vertAlign w:val="superscript"/>
        </w:rPr>
        <w:footnoteReference w:id="5"/>
      </w:r>
      <w:r w:rsidRPr="00383AED">
        <w:rPr>
          <w:rFonts w:ascii="Tw Cen MT" w:hAnsi="Tw Cen MT" w:cs="TimesNewRomanPSMT"/>
        </w:rPr>
        <w:t>. La résolution récente du Conseil de sécurité 2334 qui demande l’arrêt de la colonisation israélienne demande également « </w:t>
      </w:r>
      <w:r w:rsidRPr="00383AED">
        <w:rPr>
          <w:rFonts w:ascii="Tw Cen MT" w:eastAsia="Times New Roman" w:hAnsi="Tw Cen MT"/>
        </w:rPr>
        <w:t>à tous les États, compte tenu du paragraphe 1 de la présente résolution, de faire une distinction, dans leurs échanges en la matière, entre le territoire de l’État d’Israël et les territoires occupés depuis 1967 ». La France a voté en faveur de cette résolution.</w:t>
      </w:r>
    </w:p>
    <w:p w:rsidR="003B0303" w:rsidRPr="00383AED" w:rsidRDefault="003B0303" w:rsidP="003B0303">
      <w:pPr>
        <w:jc w:val="both"/>
        <w:rPr>
          <w:rFonts w:ascii="Tw Cen MT" w:hAnsi="Tw Cen MT" w:cs="TimesNewRomanPSMT"/>
        </w:rPr>
      </w:pPr>
    </w:p>
    <w:p w:rsidR="003B0303" w:rsidRPr="00383AED" w:rsidRDefault="003B0303" w:rsidP="003B0303">
      <w:pPr>
        <w:jc w:val="both"/>
        <w:rPr>
          <w:rFonts w:ascii="Tw Cen MT" w:hAnsi="Tw Cen MT" w:cs="TimesNewRomanPSMT"/>
          <w:sz w:val="16"/>
          <w:szCs w:val="16"/>
        </w:rPr>
      </w:pPr>
    </w:p>
    <w:p w:rsidR="003B0303" w:rsidRDefault="003B0303" w:rsidP="003B0303">
      <w:pPr>
        <w:jc w:val="both"/>
        <w:rPr>
          <w:rFonts w:ascii="Tw Cen MT" w:hAnsi="Tw Cen MT"/>
        </w:rPr>
      </w:pPr>
      <w:r w:rsidRPr="00383AED">
        <w:rPr>
          <w:rFonts w:ascii="Tw Cen MT" w:hAnsi="Tw Cen MT"/>
        </w:rPr>
        <w:t>En Palestine occupée, des entreprises françaises sont impliquées dans des activités liées à la colonisation israélienne favorisant ainsi son expansion. C’est le cas d’Alstom, qui après avoir mené à terme le projet de construction de la première ligne de tramway de Jérusalem (qui relie Jérusalem-Ouest à des colonies de Jérusalem-Est) dont elle assure à présent la maintenance, s'apprête à en doubler la longueur par la construction de quatre nouvelles extensions </w:t>
      </w:r>
      <w:r>
        <w:rPr>
          <w:rFonts w:ascii="Tw Cen MT" w:hAnsi="Tw Cen MT"/>
        </w:rPr>
        <w:t>e</w:t>
      </w:r>
      <w:r w:rsidRPr="00383AED">
        <w:rPr>
          <w:rFonts w:ascii="Tw Cen MT" w:hAnsi="Tw Cen MT"/>
        </w:rPr>
        <w:t>t</w:t>
      </w:r>
      <w:r>
        <w:rPr>
          <w:rFonts w:ascii="Tw Cen MT" w:hAnsi="Tw Cen MT"/>
        </w:rPr>
        <w:t xml:space="preserve"> à me</w:t>
      </w:r>
      <w:r w:rsidRPr="00383AED">
        <w:rPr>
          <w:rFonts w:ascii="Tw Cen MT" w:hAnsi="Tw Cen MT"/>
        </w:rPr>
        <w:t>ttr</w:t>
      </w:r>
      <w:r>
        <w:rPr>
          <w:rFonts w:ascii="Tw Cen MT" w:hAnsi="Tw Cen MT"/>
        </w:rPr>
        <w:t>e en chantie</w:t>
      </w:r>
      <w:r w:rsidRPr="00383AED">
        <w:rPr>
          <w:rFonts w:ascii="Tw Cen MT" w:hAnsi="Tw Cen MT"/>
        </w:rPr>
        <w:t>r</w:t>
      </w:r>
      <w:r>
        <w:rPr>
          <w:rFonts w:ascii="Tw Cen MT" w:hAnsi="Tw Cen MT"/>
        </w:rPr>
        <w:t xml:space="preserve"> </w:t>
      </w:r>
      <w:r w:rsidRPr="00383AED">
        <w:rPr>
          <w:rFonts w:ascii="Tw Cen MT" w:hAnsi="Tw Cen MT"/>
        </w:rPr>
        <w:t>u</w:t>
      </w:r>
      <w:r>
        <w:rPr>
          <w:rFonts w:ascii="Tw Cen MT" w:hAnsi="Tw Cen MT"/>
        </w:rPr>
        <w:t>ne de</w:t>
      </w:r>
      <w:r w:rsidRPr="00383AED">
        <w:rPr>
          <w:rFonts w:ascii="Tw Cen MT" w:hAnsi="Tw Cen MT"/>
        </w:rPr>
        <w:t>u</w:t>
      </w:r>
      <w:r>
        <w:rPr>
          <w:rFonts w:ascii="Tw Cen MT" w:hAnsi="Tw Cen MT"/>
        </w:rPr>
        <w:t>xième ligne desse</w:t>
      </w:r>
      <w:r w:rsidRPr="00383AED">
        <w:rPr>
          <w:rFonts w:ascii="Tw Cen MT" w:hAnsi="Tw Cen MT"/>
        </w:rPr>
        <w:t>r</w:t>
      </w:r>
      <w:r>
        <w:rPr>
          <w:rFonts w:ascii="Tw Cen MT" w:hAnsi="Tw Cen MT"/>
        </w:rPr>
        <w:t>van</w:t>
      </w:r>
      <w:r w:rsidRPr="00383AED">
        <w:rPr>
          <w:rFonts w:ascii="Tw Cen MT" w:hAnsi="Tw Cen MT"/>
        </w:rPr>
        <w:t>t</w:t>
      </w:r>
      <w:r>
        <w:rPr>
          <w:rFonts w:ascii="Tw Cen MT" w:hAnsi="Tw Cen MT"/>
        </w:rPr>
        <w:t xml:space="preserve"> les </w:t>
      </w:r>
      <w:r w:rsidRPr="00383AED">
        <w:rPr>
          <w:rFonts w:ascii="Tw Cen MT" w:hAnsi="Tw Cen MT"/>
        </w:rPr>
        <w:t>colonies</w:t>
      </w:r>
      <w:r>
        <w:rPr>
          <w:rFonts w:ascii="Tw Cen MT" w:hAnsi="Tw Cen MT"/>
        </w:rPr>
        <w:t xml:space="preserve"> </w:t>
      </w:r>
      <w:r w:rsidRPr="00383AED">
        <w:rPr>
          <w:rFonts w:ascii="Tw Cen MT" w:hAnsi="Tw Cen MT"/>
        </w:rPr>
        <w:t xml:space="preserve">; de CNA qui coordonne un projet  de construction de téléphérique autour de la Vieille ville </w:t>
      </w:r>
      <w:r>
        <w:rPr>
          <w:rFonts w:ascii="Tw Cen MT" w:hAnsi="Tw Cen MT"/>
        </w:rPr>
        <w:t>à</w:t>
      </w:r>
      <w:r w:rsidRPr="00383AED">
        <w:rPr>
          <w:rFonts w:ascii="Tw Cen MT" w:hAnsi="Tw Cen MT"/>
        </w:rPr>
        <w:t xml:space="preserve"> Jérusalem</w:t>
      </w:r>
      <w:r>
        <w:rPr>
          <w:rFonts w:ascii="Tw Cen MT" w:hAnsi="Tw Cen MT"/>
        </w:rPr>
        <w:t xml:space="preserve">-Est </w:t>
      </w:r>
      <w:r w:rsidRPr="00383AED">
        <w:rPr>
          <w:rFonts w:ascii="Tw Cen MT" w:hAnsi="Tw Cen MT"/>
        </w:rPr>
        <w:t>, ainsi que d’</w:t>
      </w:r>
      <w:proofErr w:type="spellStart"/>
      <w:r w:rsidRPr="00383AED">
        <w:rPr>
          <w:rFonts w:ascii="Tw Cen MT" w:hAnsi="Tw Cen MT"/>
        </w:rPr>
        <w:t>Egis</w:t>
      </w:r>
      <w:proofErr w:type="spellEnd"/>
      <w:r w:rsidRPr="00383AED">
        <w:rPr>
          <w:rFonts w:ascii="Tw Cen MT" w:hAnsi="Tw Cen MT"/>
        </w:rPr>
        <w:t xml:space="preserve"> Rail</w:t>
      </w:r>
      <w:r>
        <w:rPr>
          <w:rFonts w:ascii="Tw Cen MT" w:hAnsi="Tw Cen MT"/>
        </w:rPr>
        <w:t xml:space="preserve"> – f</w:t>
      </w:r>
      <w:r w:rsidRPr="00383AED">
        <w:rPr>
          <w:rFonts w:ascii="Tw Cen MT" w:hAnsi="Tw Cen MT"/>
        </w:rPr>
        <w:t>i</w:t>
      </w:r>
      <w:r>
        <w:rPr>
          <w:rFonts w:ascii="Tw Cen MT" w:hAnsi="Tw Cen MT"/>
        </w:rPr>
        <w:t>l</w:t>
      </w:r>
      <w:r w:rsidRPr="00383AED">
        <w:rPr>
          <w:rFonts w:ascii="Tw Cen MT" w:hAnsi="Tw Cen MT"/>
        </w:rPr>
        <w:t>i</w:t>
      </w:r>
      <w:r>
        <w:rPr>
          <w:rFonts w:ascii="Tw Cen MT" w:hAnsi="Tw Cen MT"/>
        </w:rPr>
        <w:t>ale de la Caisse des Dépôts et Consignations -</w:t>
      </w:r>
      <w:r w:rsidRPr="00383AED">
        <w:rPr>
          <w:rFonts w:ascii="Tw Cen MT" w:hAnsi="Tw Cen MT"/>
        </w:rPr>
        <w:t xml:space="preserve"> chargée de la </w:t>
      </w:r>
      <w:r>
        <w:rPr>
          <w:rFonts w:ascii="Tw Cen MT" w:hAnsi="Tw Cen MT"/>
        </w:rPr>
        <w:t>c</w:t>
      </w:r>
      <w:r w:rsidRPr="00383AED">
        <w:rPr>
          <w:rFonts w:ascii="Tw Cen MT" w:hAnsi="Tw Cen MT"/>
        </w:rPr>
        <w:t>o</w:t>
      </w:r>
      <w:r>
        <w:rPr>
          <w:rFonts w:ascii="Tw Cen MT" w:hAnsi="Tw Cen MT"/>
        </w:rPr>
        <w:t>ncep</w:t>
      </w:r>
      <w:r w:rsidRPr="00383AED">
        <w:rPr>
          <w:rFonts w:ascii="Tw Cen MT" w:hAnsi="Tw Cen MT"/>
        </w:rPr>
        <w:t>tio</w:t>
      </w:r>
      <w:r>
        <w:rPr>
          <w:rFonts w:ascii="Tw Cen MT" w:hAnsi="Tw Cen MT"/>
        </w:rPr>
        <w:t>n e</w:t>
      </w:r>
      <w:r w:rsidRPr="00383AED">
        <w:rPr>
          <w:rFonts w:ascii="Tw Cen MT" w:hAnsi="Tw Cen MT"/>
        </w:rPr>
        <w:t>t</w:t>
      </w:r>
      <w:r>
        <w:rPr>
          <w:rFonts w:ascii="Tw Cen MT" w:hAnsi="Tw Cen MT"/>
        </w:rPr>
        <w:t xml:space="preserve"> de la </w:t>
      </w:r>
      <w:r w:rsidRPr="00383AED">
        <w:rPr>
          <w:rFonts w:ascii="Tw Cen MT" w:hAnsi="Tw Cen MT"/>
        </w:rPr>
        <w:t>r</w:t>
      </w:r>
      <w:r>
        <w:rPr>
          <w:rFonts w:ascii="Tw Cen MT" w:hAnsi="Tw Cen MT"/>
        </w:rPr>
        <w:t>éal</w:t>
      </w:r>
      <w:r w:rsidRPr="00383AED">
        <w:rPr>
          <w:rFonts w:ascii="Tw Cen MT" w:hAnsi="Tw Cen MT"/>
        </w:rPr>
        <w:t>i</w:t>
      </w:r>
      <w:r>
        <w:rPr>
          <w:rFonts w:ascii="Tw Cen MT" w:hAnsi="Tw Cen MT"/>
        </w:rPr>
        <w:t>sa</w:t>
      </w:r>
      <w:r w:rsidRPr="00383AED">
        <w:rPr>
          <w:rFonts w:ascii="Tw Cen MT" w:hAnsi="Tw Cen MT"/>
        </w:rPr>
        <w:t>tion de deux nouvelles lignes de tramway entre Jérusalem-Ouest et des colonies. Veolia et Orange étaient également impliquées dans des activités économiques dans les colonies mais ont rompu tout lien suite à des p</w:t>
      </w:r>
      <w:r>
        <w:rPr>
          <w:rFonts w:ascii="Tw Cen MT" w:hAnsi="Tw Cen MT"/>
        </w:rPr>
        <w:t>ressions de la société civile. Plusieurs banques et assurances françaises ont également des liens avec les colonies israéliennes : la Société Générale, BNP Paribas, Groupe Crédit Agricole, Groupe BPCE et AXA.</w:t>
      </w:r>
      <w:r>
        <w:rPr>
          <w:rStyle w:val="Appelnotedebasdep"/>
          <w:rFonts w:ascii="Tw Cen MT" w:hAnsi="Tw Cen MT"/>
        </w:rPr>
        <w:footnoteReference w:id="6"/>
      </w:r>
    </w:p>
    <w:p w:rsidR="003B0303" w:rsidRDefault="003B0303" w:rsidP="003B0303">
      <w:pPr>
        <w:jc w:val="both"/>
        <w:rPr>
          <w:rFonts w:ascii="Tw Cen MT" w:hAnsi="Tw Cen MT"/>
        </w:rPr>
      </w:pPr>
    </w:p>
    <w:p w:rsidR="003B0303" w:rsidRPr="00526AC0" w:rsidRDefault="003B0303" w:rsidP="003B0303">
      <w:pPr>
        <w:jc w:val="both"/>
        <w:rPr>
          <w:rFonts w:ascii="Tw Cen MT" w:hAnsi="Tw Cen MT"/>
        </w:rPr>
      </w:pPr>
    </w:p>
    <w:p w:rsidR="003B0303" w:rsidRPr="00D56314" w:rsidRDefault="003B0303" w:rsidP="003B0303">
      <w:pPr>
        <w:autoSpaceDE w:val="0"/>
        <w:autoSpaceDN w:val="0"/>
        <w:adjustRightInd w:val="0"/>
        <w:jc w:val="both"/>
        <w:rPr>
          <w:rFonts w:ascii="Tw Cen MT" w:hAnsi="Tw Cen MT" w:cs="Calibri"/>
          <w:b/>
          <w:color w:val="10AC04"/>
          <w:sz w:val="26"/>
          <w:szCs w:val="26"/>
          <w:lang w:val="fr"/>
        </w:rPr>
      </w:pPr>
      <w:r w:rsidRPr="00D56314">
        <w:rPr>
          <w:rFonts w:ascii="Tw Cen MT" w:hAnsi="Tw Cen MT" w:cs="Calibri"/>
          <w:b/>
          <w:color w:val="10AC04"/>
          <w:sz w:val="26"/>
          <w:szCs w:val="26"/>
          <w:lang w:val="fr"/>
        </w:rPr>
        <w:t>Demandes phares </w:t>
      </w:r>
    </w:p>
    <w:p w:rsidR="003B0303" w:rsidRDefault="003B0303" w:rsidP="003B0303">
      <w:pPr>
        <w:autoSpaceDE w:val="0"/>
        <w:autoSpaceDN w:val="0"/>
        <w:adjustRightInd w:val="0"/>
        <w:jc w:val="both"/>
        <w:rPr>
          <w:rFonts w:ascii="Tw Cen MT" w:hAnsi="Tw Cen MT" w:cs="Calibri"/>
          <w:b/>
          <w:color w:val="10AC04"/>
          <w:sz w:val="28"/>
          <w:lang w:val="fr"/>
        </w:rPr>
      </w:pPr>
    </w:p>
    <w:p w:rsidR="003B0303" w:rsidRPr="00E53A2E" w:rsidRDefault="003B0303" w:rsidP="003B0303">
      <w:pPr>
        <w:numPr>
          <w:ilvl w:val="0"/>
          <w:numId w:val="4"/>
        </w:numPr>
        <w:autoSpaceDE w:val="0"/>
        <w:autoSpaceDN w:val="0"/>
        <w:adjustRightInd w:val="0"/>
        <w:jc w:val="both"/>
        <w:rPr>
          <w:rFonts w:ascii="Tw Cen MT" w:hAnsi="Tw Cen MT" w:cs="Calibri"/>
          <w:b/>
          <w:color w:val="10AC04"/>
          <w:sz w:val="28"/>
          <w:lang w:val="fr"/>
        </w:rPr>
      </w:pPr>
      <w:r w:rsidRPr="007A0401">
        <w:rPr>
          <w:rFonts w:ascii="Tw Cen MT" w:hAnsi="Tw Cen MT"/>
          <w:b/>
          <w:lang w:val="fr"/>
        </w:rPr>
        <w:t xml:space="preserve">Interdire </w:t>
      </w:r>
      <w:r w:rsidRPr="007A0401">
        <w:rPr>
          <w:rFonts w:ascii="Tw Cen MT" w:eastAsia="Times New Roman" w:hAnsi="Tw Cen MT" w:cs="Calibri"/>
          <w:b/>
          <w:bCs/>
          <w:kern w:val="36"/>
        </w:rPr>
        <w:t>l’importation de produits des colonies i</w:t>
      </w:r>
      <w:r>
        <w:rPr>
          <w:rFonts w:ascii="Tw Cen MT" w:eastAsia="Times New Roman" w:hAnsi="Tw Cen MT" w:cs="Calibri"/>
          <w:b/>
          <w:bCs/>
          <w:kern w:val="36"/>
        </w:rPr>
        <w:t>s</w:t>
      </w:r>
      <w:r w:rsidRPr="007A0401">
        <w:rPr>
          <w:rFonts w:ascii="Tw Cen MT" w:eastAsia="Times New Roman" w:hAnsi="Tw Cen MT" w:cs="Calibri"/>
          <w:b/>
          <w:bCs/>
          <w:kern w:val="36"/>
        </w:rPr>
        <w:t>r</w:t>
      </w:r>
      <w:r>
        <w:rPr>
          <w:rFonts w:ascii="Tw Cen MT" w:eastAsia="Times New Roman" w:hAnsi="Tw Cen MT" w:cs="Calibri"/>
          <w:b/>
          <w:bCs/>
          <w:kern w:val="36"/>
        </w:rPr>
        <w:t xml:space="preserve">aéliennes </w:t>
      </w:r>
      <w:r w:rsidRPr="007A0401">
        <w:rPr>
          <w:rFonts w:ascii="Tw Cen MT" w:eastAsia="Times New Roman" w:hAnsi="Tw Cen MT" w:cs="Calibri"/>
          <w:b/>
          <w:bCs/>
          <w:kern w:val="36"/>
        </w:rPr>
        <w:t>sur le territoire français et de l’Union européenne</w:t>
      </w:r>
    </w:p>
    <w:p w:rsidR="003B0303" w:rsidRPr="00E53A2E" w:rsidRDefault="003B0303" w:rsidP="003B0303">
      <w:pPr>
        <w:numPr>
          <w:ilvl w:val="0"/>
          <w:numId w:val="4"/>
        </w:numPr>
        <w:autoSpaceDE w:val="0"/>
        <w:autoSpaceDN w:val="0"/>
        <w:adjustRightInd w:val="0"/>
        <w:jc w:val="both"/>
        <w:rPr>
          <w:rFonts w:ascii="Tw Cen MT" w:hAnsi="Tw Cen MT" w:cs="Calibri"/>
          <w:b/>
          <w:color w:val="10AC04"/>
          <w:sz w:val="28"/>
          <w:lang w:val="fr"/>
        </w:rPr>
      </w:pPr>
      <w:r>
        <w:rPr>
          <w:rFonts w:ascii="Tw Cen MT" w:hAnsi="Tw Cen MT"/>
          <w:b/>
          <w:lang w:val="fr"/>
        </w:rPr>
        <w:t>D</w:t>
      </w:r>
      <w:proofErr w:type="spellStart"/>
      <w:r w:rsidRPr="007A0401">
        <w:rPr>
          <w:rFonts w:ascii="Tw Cen MT" w:eastAsia="Times New Roman" w:hAnsi="Tw Cen MT" w:cs="Calibri"/>
          <w:b/>
          <w:bCs/>
          <w:kern w:val="36"/>
        </w:rPr>
        <w:t>issuader</w:t>
      </w:r>
      <w:proofErr w:type="spellEnd"/>
      <w:r w:rsidRPr="007A0401">
        <w:rPr>
          <w:rFonts w:ascii="Tw Cen MT" w:eastAsia="Times New Roman" w:hAnsi="Tw Cen MT" w:cs="Calibri"/>
          <w:b/>
          <w:bCs/>
          <w:kern w:val="36"/>
        </w:rPr>
        <w:t xml:space="preserve"> activement les entreprises françaises de s’impliquer dans la colonisation israélienne.</w:t>
      </w:r>
    </w:p>
    <w:p w:rsidR="003B0303" w:rsidRDefault="003B0303" w:rsidP="003B0303">
      <w:pPr>
        <w:jc w:val="both"/>
        <w:outlineLvl w:val="0"/>
        <w:rPr>
          <w:rFonts w:ascii="Tw Cen MT" w:hAnsi="Tw Cen MT"/>
          <w:b/>
          <w:color w:val="00B050"/>
          <w:lang w:val="fr"/>
        </w:rPr>
      </w:pPr>
    </w:p>
    <w:p w:rsidR="003B0303" w:rsidRDefault="003B0303" w:rsidP="003B0303">
      <w:pPr>
        <w:jc w:val="both"/>
        <w:outlineLvl w:val="0"/>
        <w:rPr>
          <w:rFonts w:ascii="Tw Cen MT" w:hAnsi="Tw Cen MT"/>
          <w:b/>
          <w:color w:val="00B050"/>
          <w:lang w:val="fr"/>
        </w:rPr>
      </w:pPr>
    </w:p>
    <w:p w:rsidR="003B0303" w:rsidRPr="009D0EB2" w:rsidRDefault="003B0303" w:rsidP="003B0303">
      <w:pPr>
        <w:jc w:val="both"/>
        <w:outlineLvl w:val="0"/>
        <w:rPr>
          <w:rFonts w:ascii="Tw Cen MT" w:hAnsi="Tw Cen MT"/>
          <w:b/>
          <w:color w:val="00B050"/>
          <w:lang w:val="fr"/>
        </w:rPr>
      </w:pPr>
    </w:p>
    <w:p w:rsidR="003B0303" w:rsidRDefault="003B0303" w:rsidP="003B0303">
      <w:pPr>
        <w:autoSpaceDE w:val="0"/>
        <w:autoSpaceDN w:val="0"/>
        <w:adjustRightInd w:val="0"/>
        <w:jc w:val="both"/>
        <w:rPr>
          <w:rFonts w:ascii="Tw Cen MT" w:hAnsi="Tw Cen MT" w:cs="Calibri"/>
          <w:b/>
          <w:color w:val="10AC04"/>
          <w:sz w:val="26"/>
          <w:szCs w:val="26"/>
          <w:lang w:val="fr"/>
        </w:rPr>
      </w:pPr>
    </w:p>
    <w:p w:rsidR="003B0303" w:rsidRDefault="003B0303" w:rsidP="003B0303">
      <w:pPr>
        <w:autoSpaceDE w:val="0"/>
        <w:autoSpaceDN w:val="0"/>
        <w:adjustRightInd w:val="0"/>
        <w:jc w:val="both"/>
        <w:rPr>
          <w:rFonts w:ascii="Tw Cen MT" w:hAnsi="Tw Cen MT" w:cs="Calibri"/>
          <w:b/>
          <w:color w:val="10AC04"/>
          <w:sz w:val="26"/>
          <w:szCs w:val="26"/>
          <w:lang w:val="fr"/>
        </w:rPr>
      </w:pPr>
    </w:p>
    <w:p w:rsidR="003B0303" w:rsidRDefault="003B0303" w:rsidP="003B0303">
      <w:pPr>
        <w:autoSpaceDE w:val="0"/>
        <w:autoSpaceDN w:val="0"/>
        <w:adjustRightInd w:val="0"/>
        <w:jc w:val="both"/>
        <w:rPr>
          <w:rFonts w:ascii="Tw Cen MT" w:hAnsi="Tw Cen MT" w:cs="Calibri"/>
          <w:b/>
          <w:color w:val="10AC04"/>
          <w:sz w:val="26"/>
          <w:szCs w:val="26"/>
          <w:lang w:val="fr"/>
        </w:rPr>
      </w:pPr>
    </w:p>
    <w:p w:rsidR="003B0303" w:rsidRPr="00D56314" w:rsidRDefault="003B0303" w:rsidP="003B0303">
      <w:pPr>
        <w:autoSpaceDE w:val="0"/>
        <w:autoSpaceDN w:val="0"/>
        <w:adjustRightInd w:val="0"/>
        <w:jc w:val="both"/>
        <w:rPr>
          <w:rFonts w:ascii="Tw Cen MT" w:hAnsi="Tw Cen MT" w:cs="Calibri"/>
          <w:b/>
          <w:color w:val="10AC04"/>
          <w:sz w:val="26"/>
          <w:szCs w:val="26"/>
          <w:lang w:val="fr"/>
        </w:rPr>
      </w:pPr>
      <w:r w:rsidRPr="00D56314">
        <w:rPr>
          <w:rFonts w:ascii="Tw Cen MT" w:hAnsi="Tw Cen MT" w:cs="Calibri"/>
          <w:b/>
          <w:color w:val="10AC04"/>
          <w:sz w:val="26"/>
          <w:szCs w:val="26"/>
          <w:lang w:val="fr"/>
        </w:rPr>
        <w:t>Comment ?</w:t>
      </w:r>
    </w:p>
    <w:p w:rsidR="003B0303" w:rsidRPr="009D0EB2" w:rsidRDefault="003B0303" w:rsidP="003B0303">
      <w:pPr>
        <w:autoSpaceDE w:val="0"/>
        <w:autoSpaceDN w:val="0"/>
        <w:adjustRightInd w:val="0"/>
        <w:jc w:val="both"/>
        <w:rPr>
          <w:rFonts w:ascii="Tw Cen MT" w:hAnsi="Tw Cen MT" w:cs="TimesNewRomanPSMT"/>
          <w:b/>
        </w:rPr>
      </w:pPr>
    </w:p>
    <w:p w:rsidR="003B0303" w:rsidRDefault="003B0303" w:rsidP="003B0303">
      <w:pPr>
        <w:jc w:val="both"/>
        <w:rPr>
          <w:rFonts w:ascii="Tw Cen MT" w:hAnsi="Tw Cen MT" w:cs="TimesNewRomanPSMT"/>
        </w:rPr>
      </w:pPr>
      <w:r w:rsidRPr="007A0401">
        <w:rPr>
          <w:rFonts w:ascii="Tw Cen MT" w:hAnsi="Tw Cen MT" w:cs="TimesNewRomanPSMT"/>
        </w:rPr>
        <w:t xml:space="preserve">En 2015 et 2016, </w:t>
      </w:r>
      <w:r>
        <w:rPr>
          <w:rFonts w:ascii="Tw Cen MT" w:hAnsi="Tw Cen MT" w:cs="TimesNewRomanPSMT"/>
        </w:rPr>
        <w:t xml:space="preserve">des dizaines de questions écrites et courriers ont été envoyées par des députés et sénateurs au gouvernement français pour demander l’étiquetage obligatoire des produits des colonies israéliennes, dans le respect de la législation européenne en la matière. Grâce à cette mobilisation, le gouvernement s’est saisi de la question et a publié un </w:t>
      </w:r>
      <w:hyperlink r:id="rId13" w:history="1">
        <w:r w:rsidRPr="00383AED">
          <w:rPr>
            <w:rFonts w:ascii="Tw Cen MT" w:hAnsi="Tw Cen MT" w:cs="TimesNewRomanPSMT"/>
            <w:color w:val="0000FF"/>
            <w:u w:val="single"/>
          </w:rPr>
          <w:t>avis</w:t>
        </w:r>
      </w:hyperlink>
      <w:r w:rsidRPr="00383AED">
        <w:rPr>
          <w:rFonts w:ascii="Tw Cen MT" w:hAnsi="Tw Cen MT" w:cs="TimesNewRomanPSMT"/>
        </w:rPr>
        <w:t xml:space="preserve"> aux opérateurs économiques sur la marche à suivre pour étiqueter les produits des colonies. </w:t>
      </w:r>
    </w:p>
    <w:p w:rsidR="003B0303" w:rsidRDefault="003B0303" w:rsidP="003B0303">
      <w:pPr>
        <w:jc w:val="both"/>
        <w:rPr>
          <w:rFonts w:ascii="Tw Cen MT" w:hAnsi="Tw Cen MT" w:cs="TimesNewRomanPSMT"/>
        </w:rPr>
      </w:pPr>
    </w:p>
    <w:p w:rsidR="003B0303" w:rsidRDefault="003B0303" w:rsidP="003B0303">
      <w:pPr>
        <w:jc w:val="both"/>
        <w:rPr>
          <w:rFonts w:ascii="Tw Cen MT" w:hAnsi="Tw Cen MT" w:cs="TimesNewRomanPSMT"/>
        </w:rPr>
      </w:pPr>
      <w:r>
        <w:rPr>
          <w:rFonts w:ascii="Tw Cen MT" w:hAnsi="Tw Cen MT" w:cs="TimesNewRomanPSMT"/>
        </w:rPr>
        <w:t>A présent, il faut aller jusqu’au bout de la démarche et reprendre cette même mobilisation pour demander l’interdiction des produits, en accord avec le droit international.</w:t>
      </w:r>
    </w:p>
    <w:p w:rsidR="003B0303" w:rsidRDefault="003B0303" w:rsidP="003B0303">
      <w:pPr>
        <w:jc w:val="both"/>
        <w:rPr>
          <w:rFonts w:ascii="Tw Cen MT" w:hAnsi="Tw Cen MT" w:cs="TimesNewRomanPSMT"/>
        </w:rPr>
      </w:pPr>
    </w:p>
    <w:p w:rsidR="003B0303" w:rsidRDefault="003B0303" w:rsidP="003B0303">
      <w:pPr>
        <w:jc w:val="both"/>
        <w:rPr>
          <w:rFonts w:ascii="Tw Cen MT" w:hAnsi="Tw Cen MT" w:cs="TimesNewRomanPSMT"/>
        </w:rPr>
      </w:pPr>
      <w:r>
        <w:rPr>
          <w:rFonts w:ascii="Tw Cen MT" w:hAnsi="Tw Cen MT" w:cs="TimesNewRomanPSMT"/>
        </w:rPr>
        <w:t xml:space="preserve">Il faut également poser des questions écrites et/ou orales au ministère de l’Economie pour lui demander de dissuader les entreprises françaises d’avoir des liens avec les colonies israéliennes, en particulier celles dont l’Etat français est actionnaire (Alstom, </w:t>
      </w:r>
      <w:proofErr w:type="spellStart"/>
      <w:r>
        <w:rPr>
          <w:rFonts w:ascii="Tw Cen MT" w:hAnsi="Tw Cen MT" w:cs="TimesNewRomanPSMT"/>
        </w:rPr>
        <w:t>Egis</w:t>
      </w:r>
      <w:proofErr w:type="spellEnd"/>
      <w:r>
        <w:rPr>
          <w:rFonts w:ascii="Tw Cen MT" w:hAnsi="Tw Cen MT" w:cs="TimesNewRomanPSMT"/>
        </w:rPr>
        <w:t xml:space="preserve"> Rail).</w:t>
      </w:r>
    </w:p>
    <w:p w:rsidR="003B0303" w:rsidRPr="00D45210" w:rsidRDefault="003B0303" w:rsidP="003B0303">
      <w:pPr>
        <w:jc w:val="both"/>
        <w:rPr>
          <w:rFonts w:ascii="Tw Cen MT" w:hAnsi="Tw Cen MT" w:cs="TimesNewRomanPSMT"/>
        </w:rPr>
      </w:pPr>
    </w:p>
    <w:p w:rsidR="003B0303" w:rsidRDefault="003B0303" w:rsidP="003B0303">
      <w:pPr>
        <w:autoSpaceDE w:val="0"/>
        <w:autoSpaceDN w:val="0"/>
        <w:adjustRightInd w:val="0"/>
        <w:jc w:val="both"/>
        <w:rPr>
          <w:rFonts w:ascii="Tw Cen MT" w:hAnsi="Tw Cen MT" w:cs="TimesNewRomanPSMT"/>
          <w:b/>
          <w:sz w:val="40"/>
          <w:szCs w:val="40"/>
        </w:rPr>
      </w:pPr>
      <w:r>
        <w:rPr>
          <w:rFonts w:ascii="Tw Cen MT" w:hAnsi="Tw Cen MT" w:cs="TimesNewRomanPSMT"/>
          <w:b/>
          <w:sz w:val="40"/>
          <w:szCs w:val="40"/>
        </w:rPr>
        <w:br w:type="page"/>
      </w:r>
    </w:p>
    <w:p w:rsidR="003B0303" w:rsidRDefault="003B0303" w:rsidP="003B0303">
      <w:pPr>
        <w:pStyle w:val="TM1"/>
        <w:spacing w:after="0"/>
        <w:rPr>
          <w:sz w:val="26"/>
        </w:rPr>
      </w:pPr>
    </w:p>
    <w:p w:rsidR="003B0303" w:rsidRPr="00756E45" w:rsidRDefault="003B0303" w:rsidP="003B0303">
      <w:pPr>
        <w:pStyle w:val="TM1"/>
        <w:spacing w:after="0"/>
        <w:rPr>
          <w:sz w:val="26"/>
        </w:rPr>
      </w:pPr>
      <w:r w:rsidRPr="00756E45">
        <w:rPr>
          <w:sz w:val="26"/>
        </w:rPr>
        <w:t xml:space="preserve">3) Demanderez-vous </w:t>
      </w:r>
      <w:bookmarkStart w:id="2" w:name="_Toc464563518"/>
      <w:bookmarkEnd w:id="2"/>
      <w:r w:rsidRPr="00756E45">
        <w:rPr>
          <w:sz w:val="26"/>
        </w:rPr>
        <w:t>au gouvernement d’exercer les pressions nécessaires pour obtenir la levée du blocus de Gaza ?</w:t>
      </w:r>
    </w:p>
    <w:p w:rsidR="003B0303" w:rsidRPr="00E53A2E" w:rsidRDefault="003B0303" w:rsidP="003B0303">
      <w:r w:rsidRPr="0011610F">
        <w:rPr>
          <w:b/>
          <w:i/>
          <w:noProof/>
          <w:sz w:val="26"/>
          <w:szCs w:val="26"/>
          <w:lang w:eastAsia="fr-FR"/>
        </w:rPr>
        <w:drawing>
          <wp:anchor distT="36576" distB="36576" distL="36576" distR="36576" simplePos="0" relativeHeight="251659264" behindDoc="0" locked="0" layoutInCell="1" allowOverlap="1">
            <wp:simplePos x="0" y="0"/>
            <wp:positionH relativeFrom="column">
              <wp:posOffset>-329565</wp:posOffset>
            </wp:positionH>
            <wp:positionV relativeFrom="paragraph">
              <wp:posOffset>92710</wp:posOffset>
            </wp:positionV>
            <wp:extent cx="276225" cy="320675"/>
            <wp:effectExtent l="0" t="0" r="952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303" w:rsidRDefault="003B0303" w:rsidP="003B0303">
      <w:pPr>
        <w:autoSpaceDE w:val="0"/>
        <w:autoSpaceDN w:val="0"/>
        <w:adjustRightInd w:val="0"/>
        <w:jc w:val="both"/>
        <w:rPr>
          <w:rFonts w:ascii="Tw Cen MT" w:hAnsi="Tw Cen MT"/>
          <w:b/>
          <w:i/>
        </w:rPr>
      </w:pPr>
      <w:r w:rsidRPr="009B4A3A">
        <w:rPr>
          <w:rFonts w:ascii="Tw Cen MT" w:hAnsi="Tw Cen MT"/>
          <w:b/>
          <w:i/>
        </w:rPr>
        <w:t>Si l’armée israélienne et les colons israéliens se sont effectivement retirés en 2005, Israël est resté la puissance occupante en maintenant son contrôle sur les frontières terrestre, maritime et aérienne de la bande de Gaza. Depuis 2007, Israël a imposé un blocus complet, une punition collective illégale au regard du droit international. La libre circulation des personnes et des marchandises de et vers la bande de Gaza est une condition pour la création d’un Etat palestinien indépendant viable.</w:t>
      </w:r>
    </w:p>
    <w:p w:rsidR="003B0303" w:rsidRPr="009B4A3A" w:rsidRDefault="003B0303" w:rsidP="003B0303">
      <w:pPr>
        <w:autoSpaceDE w:val="0"/>
        <w:autoSpaceDN w:val="0"/>
        <w:adjustRightInd w:val="0"/>
        <w:jc w:val="both"/>
        <w:rPr>
          <w:rFonts w:ascii="Tw Cen MT" w:hAnsi="Tw Cen MT"/>
          <w:b/>
        </w:rPr>
      </w:pPr>
    </w:p>
    <w:p w:rsidR="003B0303" w:rsidRDefault="003B0303" w:rsidP="003B0303">
      <w:pPr>
        <w:rPr>
          <w:rFonts w:ascii="Tw Cen MT" w:hAnsi="Tw Cen MT"/>
          <w:b/>
          <w:color w:val="10AC04"/>
          <w:sz w:val="26"/>
          <w:szCs w:val="26"/>
        </w:rPr>
      </w:pPr>
      <w:r w:rsidRPr="00D56314">
        <w:rPr>
          <w:rFonts w:ascii="Tw Cen MT" w:hAnsi="Tw Cen MT"/>
          <w:b/>
          <w:color w:val="10AC04"/>
          <w:sz w:val="26"/>
          <w:szCs w:val="26"/>
        </w:rPr>
        <w:t>Contexte</w:t>
      </w:r>
    </w:p>
    <w:p w:rsidR="003B0303" w:rsidRPr="00D56314" w:rsidRDefault="003B0303" w:rsidP="003B0303">
      <w:pPr>
        <w:rPr>
          <w:rFonts w:ascii="Tw Cen MT" w:hAnsi="Tw Cen MT"/>
          <w:b/>
          <w:color w:val="10AC04"/>
          <w:sz w:val="26"/>
          <w:szCs w:val="26"/>
        </w:rPr>
      </w:pPr>
    </w:p>
    <w:p w:rsidR="003B0303" w:rsidRPr="00194EE9" w:rsidRDefault="003B0303" w:rsidP="003B0303">
      <w:pPr>
        <w:rPr>
          <w:rFonts w:ascii="Tw Cen MT" w:hAnsi="Tw Cen MT"/>
          <w:b/>
          <w:color w:val="10AC04"/>
          <w:sz w:val="28"/>
        </w:rPr>
      </w:pPr>
      <w:r w:rsidRPr="009B4A3A">
        <w:rPr>
          <w:rFonts w:ascii="Tw Cen MT" w:hAnsi="Tw Cen MT"/>
        </w:rPr>
        <w:t xml:space="preserve">La Bande de Gaza a été en juillet et août 2014 la cible de la plus importante opération militaire israélienne depuis 1967. 2 251 Palestiniens ont été tués, dont près de 65% de civils parmi lesquels 551 enfants, et 67 Israéliens dont 6 civils. </w:t>
      </w:r>
    </w:p>
    <w:p w:rsidR="003B0303" w:rsidRPr="009B4A3A" w:rsidRDefault="003B0303" w:rsidP="003B0303">
      <w:pPr>
        <w:jc w:val="both"/>
        <w:rPr>
          <w:rFonts w:ascii="Tw Cen MT" w:hAnsi="Tw Cen MT"/>
        </w:rPr>
      </w:pPr>
      <w:r w:rsidRPr="009B4A3A">
        <w:rPr>
          <w:rFonts w:ascii="Tw Cen MT" w:hAnsi="Tw Cen MT"/>
          <w:iCs/>
        </w:rPr>
        <w:t>Deux ans après, le blocus de Gaza est encore en place, seulement 30% des promesses de financements pour la reconstruction ont été tenues, 70% des maisons complètement détruites n’ont toujours pas été reconstruites faute d'autorisation par Israël de laisser entrer les matériaux nécessaires, et plus de 65 000 person</w:t>
      </w:r>
      <w:r>
        <w:rPr>
          <w:rFonts w:ascii="Tw Cen MT" w:hAnsi="Tw Cen MT"/>
          <w:iCs/>
        </w:rPr>
        <w:t>nes sont toujours sans domicile</w:t>
      </w:r>
      <w:r w:rsidRPr="009B4A3A">
        <w:rPr>
          <w:rStyle w:val="Appelnotedebasdep"/>
          <w:rFonts w:ascii="Tw Cen MT" w:hAnsi="Tw Cen MT"/>
          <w:iCs/>
        </w:rPr>
        <w:footnoteReference w:id="7"/>
      </w:r>
      <w:r>
        <w:rPr>
          <w:rFonts w:ascii="Tw Cen MT" w:hAnsi="Tw Cen MT"/>
          <w:iCs/>
        </w:rPr>
        <w:t>.</w:t>
      </w:r>
      <w:r w:rsidRPr="009B4A3A">
        <w:rPr>
          <w:rFonts w:ascii="Tw Cen MT" w:hAnsi="Tw Cen MT"/>
        </w:rPr>
        <w:t xml:space="preserve"> L’économie a été également largement affaiblie ; 30% des terres agricoles ont été endommagées, tandis que 35% - transformés en </w:t>
      </w:r>
      <w:r w:rsidRPr="001C3F18">
        <w:rPr>
          <w:rFonts w:ascii="Tw Cen MT" w:hAnsi="Tw Cen MT"/>
          <w:i/>
        </w:rPr>
        <w:t>no man's land</w:t>
      </w:r>
      <w:r w:rsidRPr="009B4A3A">
        <w:rPr>
          <w:rFonts w:ascii="Tw Cen MT" w:hAnsi="Tw Cen MT"/>
        </w:rPr>
        <w:t xml:space="preserve"> par Israël le long de la frontière - sont inaccessibles. Le blocus empêche les pêcheurs d’aller au-delà d’une zone de 6 miles nautiques, et presqu’aucune exportation n’est possible. Résultat, près de 41% de la population est au chômage, </w:t>
      </w:r>
      <w:r>
        <w:rPr>
          <w:rFonts w:ascii="Tw Cen MT" w:hAnsi="Tw Cen MT"/>
        </w:rPr>
        <w:t>l’</w:t>
      </w:r>
      <w:r w:rsidRPr="009B4A3A">
        <w:rPr>
          <w:rFonts w:ascii="Tw Cen MT" w:hAnsi="Tw Cen MT"/>
        </w:rPr>
        <w:t xml:space="preserve">un des taux les plus forts au monde. 70% de la population </w:t>
      </w:r>
      <w:proofErr w:type="gramStart"/>
      <w:r>
        <w:rPr>
          <w:rFonts w:ascii="Tw Cen MT" w:hAnsi="Tw Cen MT"/>
        </w:rPr>
        <w:t>a</w:t>
      </w:r>
      <w:proofErr w:type="gramEnd"/>
      <w:r w:rsidRPr="009B4A3A">
        <w:rPr>
          <w:rFonts w:ascii="Tw Cen MT" w:hAnsi="Tw Cen MT"/>
        </w:rPr>
        <w:t xml:space="preserve"> besoin d’une aide humanitaire. Si la situation ne change pas, la bande de Gaza sera « invivable d’ici 2020 », a rappelé plusieurs fois l’ONU depuis 2012</w:t>
      </w:r>
      <w:r w:rsidRPr="009B4A3A">
        <w:rPr>
          <w:rStyle w:val="Appelnotedebasdep"/>
          <w:rFonts w:ascii="Tw Cen MT" w:hAnsi="Tw Cen MT"/>
        </w:rPr>
        <w:footnoteReference w:id="8"/>
      </w:r>
      <w:r w:rsidRPr="009B4A3A">
        <w:rPr>
          <w:rFonts w:ascii="Tw Cen MT" w:hAnsi="Tw Cen MT"/>
        </w:rPr>
        <w:t xml:space="preserve">. </w:t>
      </w:r>
    </w:p>
    <w:p w:rsidR="003B0303" w:rsidRPr="009B4A3A" w:rsidRDefault="003B0303" w:rsidP="003B0303">
      <w:pPr>
        <w:jc w:val="both"/>
        <w:rPr>
          <w:rFonts w:ascii="Tw Cen MT" w:hAnsi="Tw Cen MT"/>
        </w:rPr>
      </w:pPr>
    </w:p>
    <w:p w:rsidR="003B0303" w:rsidRPr="009B4A3A" w:rsidRDefault="003B0303" w:rsidP="003B0303">
      <w:pPr>
        <w:jc w:val="both"/>
        <w:rPr>
          <w:rFonts w:ascii="Tw Cen MT" w:hAnsi="Tw Cen MT"/>
        </w:rPr>
      </w:pPr>
      <w:r w:rsidRPr="009B4A3A">
        <w:rPr>
          <w:rFonts w:ascii="Tw Cen MT" w:hAnsi="Tw Cen MT"/>
        </w:rPr>
        <w:t>« Répondre aux besoins humanitaires du conflit de 2014 requiert d’urgentes mesures et des changements de politique. Elles incluent la levée totale du blocus israélien, illégal en droit international ; la résolution des divisions intra-palestiniennes ; et le décaissement des aides promises par les bailleurs internationaux. Les responsables de violations doivent rendre des comptes. De tels changements sont essentiels, non seulement pour soulager les difficultés actuelles mais également pour réduire les probabilités d’une nouvelle escalade de violence », a récemment rappelé le Bureau de la coordination des affaires humanitaires de l’ONU</w:t>
      </w:r>
      <w:r w:rsidRPr="009B4A3A">
        <w:rPr>
          <w:rStyle w:val="Appelnotedebasdep"/>
          <w:rFonts w:ascii="Tw Cen MT" w:hAnsi="Tw Cen MT"/>
        </w:rPr>
        <w:footnoteReference w:id="9"/>
      </w:r>
      <w:r w:rsidRPr="009B4A3A">
        <w:rPr>
          <w:rFonts w:ascii="Tw Cen MT" w:hAnsi="Tw Cen MT"/>
        </w:rPr>
        <w:t xml:space="preserve">. </w:t>
      </w:r>
    </w:p>
    <w:p w:rsidR="003B0303" w:rsidRPr="009B4A3A" w:rsidRDefault="003B0303" w:rsidP="003B0303">
      <w:pPr>
        <w:jc w:val="both"/>
        <w:rPr>
          <w:rFonts w:ascii="Tw Cen MT" w:hAnsi="Tw Cen MT"/>
        </w:rPr>
      </w:pPr>
    </w:p>
    <w:p w:rsidR="003B0303" w:rsidRPr="009B4A3A" w:rsidRDefault="003B0303" w:rsidP="003B0303">
      <w:pPr>
        <w:jc w:val="both"/>
        <w:rPr>
          <w:rFonts w:ascii="Tw Cen MT" w:hAnsi="Tw Cen MT"/>
        </w:rPr>
      </w:pPr>
      <w:r w:rsidRPr="009B4A3A">
        <w:rPr>
          <w:rFonts w:ascii="Tw Cen MT" w:hAnsi="Tw Cen MT"/>
        </w:rPr>
        <w:t>Le blocus de la bande de Gaza, dans la mesure où il punit l’ensemble de ses habitants pour des crimes supposé qu’ils n’ont pas commis personnellement, constitue une « punition collective » imposée en violation flagrante des obligations qui incombent à Israël en vertu du droit international humanitaire. Rappelons qu’Israël en tant que puissance occupante est dans l’obligation de protéger la population civile et ses biens qui se trouvent sous son contrôle. Ceci au titre des articles 27 et 47 de la quatrième Convention de Genève.</w:t>
      </w:r>
    </w:p>
    <w:p w:rsidR="003B0303" w:rsidRPr="009B4A3A" w:rsidRDefault="003B0303" w:rsidP="003B0303">
      <w:pPr>
        <w:pStyle w:val="Titre1"/>
        <w:spacing w:before="0" w:beforeAutospacing="0" w:after="0" w:afterAutospacing="0"/>
        <w:jc w:val="both"/>
        <w:rPr>
          <w:rFonts w:ascii="Tw Cen MT" w:hAnsi="Tw Cen MT" w:cs="Calibri"/>
          <w:sz w:val="24"/>
          <w:szCs w:val="24"/>
          <w:lang w:val="fr"/>
        </w:rPr>
      </w:pPr>
    </w:p>
    <w:p w:rsidR="003B0303" w:rsidRPr="00D56314" w:rsidRDefault="003B0303" w:rsidP="003B0303">
      <w:pPr>
        <w:autoSpaceDE w:val="0"/>
        <w:autoSpaceDN w:val="0"/>
        <w:adjustRightInd w:val="0"/>
        <w:jc w:val="both"/>
        <w:rPr>
          <w:rFonts w:ascii="Tw Cen MT" w:hAnsi="Tw Cen MT" w:cs="Calibri"/>
          <w:b/>
          <w:color w:val="10AC04"/>
          <w:sz w:val="26"/>
          <w:szCs w:val="26"/>
          <w:lang w:val="fr"/>
        </w:rPr>
      </w:pPr>
      <w:r w:rsidRPr="00D56314">
        <w:rPr>
          <w:rFonts w:ascii="Tw Cen MT" w:hAnsi="Tw Cen MT" w:cs="Calibri"/>
          <w:b/>
          <w:color w:val="10AC04"/>
          <w:sz w:val="26"/>
          <w:szCs w:val="26"/>
          <w:lang w:val="fr"/>
        </w:rPr>
        <w:t>Demande phare </w:t>
      </w:r>
    </w:p>
    <w:p w:rsidR="003B0303" w:rsidRDefault="003B0303" w:rsidP="003B0303">
      <w:pPr>
        <w:autoSpaceDE w:val="0"/>
        <w:autoSpaceDN w:val="0"/>
        <w:adjustRightInd w:val="0"/>
        <w:jc w:val="both"/>
        <w:rPr>
          <w:rFonts w:ascii="Tw Cen MT" w:hAnsi="Tw Cen MT" w:cs="Calibri"/>
          <w:b/>
          <w:color w:val="10AC04"/>
          <w:sz w:val="28"/>
          <w:lang w:val="fr"/>
        </w:rPr>
      </w:pPr>
    </w:p>
    <w:p w:rsidR="003B0303" w:rsidRDefault="003B0303" w:rsidP="003B0303">
      <w:pPr>
        <w:autoSpaceDE w:val="0"/>
        <w:autoSpaceDN w:val="0"/>
        <w:adjustRightInd w:val="0"/>
        <w:jc w:val="both"/>
        <w:rPr>
          <w:rFonts w:ascii="Tw Cen MT" w:hAnsi="Tw Cen MT" w:cs="Calibri"/>
          <w:b/>
          <w:lang w:val="fr"/>
        </w:rPr>
      </w:pPr>
      <w:r w:rsidRPr="00976C96">
        <w:rPr>
          <w:rFonts w:ascii="Tw Cen MT" w:hAnsi="Tw Cen MT" w:cs="Calibri"/>
          <w:b/>
          <w:lang w:val="fr"/>
        </w:rPr>
        <w:t xml:space="preserve">Interpeller le gouvernement français pour qu’il </w:t>
      </w:r>
      <w:r>
        <w:rPr>
          <w:rFonts w:ascii="Tw Cen MT" w:hAnsi="Tw Cen MT" w:cs="Calibri"/>
          <w:b/>
          <w:lang w:val="fr"/>
        </w:rPr>
        <w:t>exerce des press</w:t>
      </w:r>
      <w:r>
        <w:rPr>
          <w:rFonts w:ascii="Tw Cen MT" w:hAnsi="Tw Cen MT" w:cs="Calibri"/>
          <w:lang w:val="fr"/>
        </w:rPr>
        <w:t>io</w:t>
      </w:r>
      <w:r>
        <w:rPr>
          <w:rFonts w:ascii="Tw Cen MT" w:hAnsi="Tw Cen MT" w:cs="Calibri"/>
          <w:b/>
          <w:lang w:val="fr"/>
        </w:rPr>
        <w:t xml:space="preserve">ns efficaces sur </w:t>
      </w:r>
      <w:r w:rsidRPr="00976C96">
        <w:rPr>
          <w:rFonts w:ascii="Tw Cen MT" w:hAnsi="Tw Cen MT" w:cs="Calibri"/>
          <w:b/>
          <w:lang w:val="fr"/>
        </w:rPr>
        <w:t xml:space="preserve">Israël </w:t>
      </w:r>
      <w:r>
        <w:rPr>
          <w:rFonts w:ascii="Tw Cen MT" w:hAnsi="Tw Cen MT" w:cs="Calibri"/>
          <w:b/>
          <w:lang w:val="fr"/>
        </w:rPr>
        <w:t xml:space="preserve">afin de l’amener </w:t>
      </w:r>
      <w:r w:rsidRPr="00976C96">
        <w:rPr>
          <w:rFonts w:ascii="Tw Cen MT" w:hAnsi="Tw Cen MT" w:cs="Calibri"/>
          <w:b/>
          <w:lang w:val="fr"/>
        </w:rPr>
        <w:t>à lever le blocus de Gaza.</w:t>
      </w:r>
    </w:p>
    <w:p w:rsidR="003B0303" w:rsidRPr="0009179D" w:rsidRDefault="003B0303" w:rsidP="003B0303">
      <w:pPr>
        <w:autoSpaceDE w:val="0"/>
        <w:autoSpaceDN w:val="0"/>
        <w:adjustRightInd w:val="0"/>
        <w:jc w:val="both"/>
        <w:rPr>
          <w:rFonts w:ascii="Tw Cen MT" w:hAnsi="Tw Cen MT" w:cs="Calibri"/>
          <w:b/>
          <w:lang w:val="fr"/>
        </w:rPr>
      </w:pPr>
    </w:p>
    <w:p w:rsidR="003B0303" w:rsidRPr="00D56314" w:rsidRDefault="003B0303" w:rsidP="003B0303">
      <w:pPr>
        <w:autoSpaceDE w:val="0"/>
        <w:autoSpaceDN w:val="0"/>
        <w:adjustRightInd w:val="0"/>
        <w:jc w:val="both"/>
        <w:rPr>
          <w:rFonts w:ascii="Tw Cen MT" w:hAnsi="Tw Cen MT" w:cs="Calibri"/>
          <w:b/>
          <w:color w:val="10AC04"/>
          <w:sz w:val="26"/>
          <w:szCs w:val="26"/>
          <w:lang w:val="fr"/>
        </w:rPr>
      </w:pPr>
      <w:r w:rsidRPr="00D56314">
        <w:rPr>
          <w:rFonts w:ascii="Tw Cen MT" w:hAnsi="Tw Cen MT" w:cs="Calibri"/>
          <w:b/>
          <w:color w:val="10AC04"/>
          <w:sz w:val="26"/>
          <w:szCs w:val="26"/>
          <w:lang w:val="fr"/>
        </w:rPr>
        <w:t>Comment ?</w:t>
      </w:r>
    </w:p>
    <w:p w:rsidR="003B0303" w:rsidRDefault="003B0303" w:rsidP="003B0303">
      <w:pPr>
        <w:autoSpaceDE w:val="0"/>
        <w:autoSpaceDN w:val="0"/>
        <w:adjustRightInd w:val="0"/>
        <w:jc w:val="both"/>
        <w:rPr>
          <w:rFonts w:ascii="Tw Cen MT" w:hAnsi="Tw Cen MT" w:cs="Calibri"/>
          <w:lang w:val="fr"/>
        </w:rPr>
      </w:pPr>
    </w:p>
    <w:p w:rsidR="003B0303" w:rsidRDefault="003B0303" w:rsidP="003B0303">
      <w:pPr>
        <w:autoSpaceDE w:val="0"/>
        <w:autoSpaceDN w:val="0"/>
        <w:adjustRightInd w:val="0"/>
        <w:jc w:val="both"/>
        <w:rPr>
          <w:rFonts w:ascii="Tw Cen MT" w:hAnsi="Tw Cen MT" w:cs="Calibri"/>
          <w:lang w:val="fr"/>
        </w:rPr>
      </w:pPr>
      <w:r>
        <w:rPr>
          <w:rFonts w:ascii="Tw Cen MT" w:hAnsi="Tw Cen MT" w:cs="Calibri"/>
          <w:lang w:val="fr"/>
        </w:rPr>
        <w:t>En envoyant des courriers et questions écrites et/ou orales au ministère des Affaires étrangères et au Président de la République.</w:t>
      </w:r>
    </w:p>
    <w:p w:rsidR="003B0303" w:rsidRDefault="003B0303" w:rsidP="003B0303">
      <w:pPr>
        <w:autoSpaceDE w:val="0"/>
        <w:autoSpaceDN w:val="0"/>
        <w:adjustRightInd w:val="0"/>
        <w:jc w:val="both"/>
        <w:rPr>
          <w:rFonts w:ascii="Tw Cen MT" w:hAnsi="Tw Cen MT" w:cs="Calibri"/>
          <w:lang w:val="fr"/>
        </w:rPr>
      </w:pPr>
    </w:p>
    <w:p w:rsidR="003B0303" w:rsidRDefault="003B0303" w:rsidP="003B0303">
      <w:pPr>
        <w:autoSpaceDE w:val="0"/>
        <w:autoSpaceDN w:val="0"/>
        <w:adjustRightInd w:val="0"/>
        <w:jc w:val="both"/>
      </w:pPr>
    </w:p>
    <w:p w:rsidR="003B0303" w:rsidRDefault="003B0303" w:rsidP="003B0303">
      <w:pPr>
        <w:pStyle w:val="TM1"/>
        <w:rPr>
          <w:sz w:val="26"/>
        </w:rPr>
      </w:pPr>
    </w:p>
    <w:p w:rsidR="003B0303" w:rsidRPr="008825C5" w:rsidRDefault="003B0303" w:rsidP="003B0303">
      <w:pPr>
        <w:pStyle w:val="TM1"/>
        <w:rPr>
          <w:bCs/>
          <w:sz w:val="26"/>
        </w:rPr>
      </w:pPr>
      <w:r w:rsidRPr="00D56314">
        <w:rPr>
          <w:sz w:val="26"/>
        </w:rPr>
        <w:t>4) Demanderez-vous au gouvernement l’application des résolutions votées en 2014 par l’Assemblée nationale et le Sénat sur la reconnaissance de l’Etat palestinien</w:t>
      </w:r>
      <w:r>
        <w:rPr>
          <w:sz w:val="26"/>
        </w:rPr>
        <w:t> ?</w:t>
      </w:r>
    </w:p>
    <w:p w:rsidR="003B0303" w:rsidRDefault="003B0303" w:rsidP="003B0303">
      <w:pPr>
        <w:rPr>
          <w:rFonts w:ascii="Tw Cen MT" w:hAnsi="Tw Cen MT"/>
          <w:b/>
          <w:color w:val="10AC04"/>
          <w:sz w:val="26"/>
          <w:szCs w:val="26"/>
        </w:rPr>
      </w:pPr>
      <w:r w:rsidRPr="00D56314">
        <w:rPr>
          <w:rFonts w:ascii="Tw Cen MT" w:hAnsi="Tw Cen MT"/>
          <w:b/>
          <w:color w:val="10AC04"/>
          <w:sz w:val="26"/>
          <w:szCs w:val="26"/>
        </w:rPr>
        <w:t>Contexte</w:t>
      </w:r>
    </w:p>
    <w:p w:rsidR="003B0303" w:rsidRDefault="003B0303" w:rsidP="003B0303">
      <w:pPr>
        <w:jc w:val="both"/>
        <w:rPr>
          <w:rFonts w:ascii="Tw Cen MT" w:hAnsi="Tw Cen MT" w:cs="TimesNewRomanPSMT"/>
        </w:rPr>
      </w:pPr>
    </w:p>
    <w:p w:rsidR="003B0303" w:rsidRPr="009B4A3A" w:rsidRDefault="003B0303" w:rsidP="003B0303">
      <w:pPr>
        <w:jc w:val="both"/>
        <w:rPr>
          <w:rFonts w:ascii="Tw Cen MT" w:hAnsi="Tw Cen MT" w:cs="TimesNewRomanPSMT"/>
        </w:rPr>
      </w:pPr>
      <w:r w:rsidRPr="009B4A3A">
        <w:rPr>
          <w:rFonts w:ascii="Tw Cen MT" w:hAnsi="Tw Cen MT" w:cs="TimesNewRomanPSMT"/>
        </w:rPr>
        <w:t>Nous sommes en 201</w:t>
      </w:r>
      <w:r>
        <w:rPr>
          <w:rFonts w:ascii="Tw Cen MT" w:hAnsi="Tw Cen MT" w:cs="TimesNewRomanPSMT"/>
        </w:rPr>
        <w:t>7</w:t>
      </w:r>
      <w:r w:rsidRPr="009B4A3A">
        <w:rPr>
          <w:rFonts w:ascii="Tw Cen MT" w:hAnsi="Tw Cen MT" w:cs="TimesNewRomanPSMT"/>
        </w:rPr>
        <w:t xml:space="preserve"> et les Palestiniens n’ont toujours pas d’Etat</w:t>
      </w:r>
      <w:r w:rsidRPr="009B4A3A">
        <w:rPr>
          <w:rStyle w:val="Appelnotedebasdep"/>
          <w:rFonts w:ascii="Tw Cen MT" w:hAnsi="Tw Cen MT" w:cs="TimesNewRomanPSMT"/>
        </w:rPr>
        <w:footnoteReference w:id="10"/>
      </w:r>
      <w:r w:rsidRPr="009B4A3A">
        <w:rPr>
          <w:rFonts w:ascii="Tw Cen MT" w:hAnsi="Tw Cen MT" w:cs="TimesNewRomanPSMT"/>
        </w:rPr>
        <w:t>. Pourtant, au niveau international, des progrès importants ont été faits. L'Etat de Palestine est déjà reconnu par plus de 136 Etats dans le monde : Etats arabes, d'Amérique latine, d'Asie, d'Afrique et même d’Europe (la Suède en 2014 et le Vatican en 2015). Dès 2002 l'ONU parle officiellement d'Etat de Palestine</w:t>
      </w:r>
      <w:r w:rsidRPr="009B4A3A">
        <w:rPr>
          <w:rFonts w:ascii="Tw Cen MT" w:hAnsi="Tw Cen MT" w:cs="TimesNewRomanPSMT"/>
          <w:color w:val="FF0000"/>
        </w:rPr>
        <w:t xml:space="preserve">. </w:t>
      </w:r>
      <w:r w:rsidRPr="009B4A3A">
        <w:rPr>
          <w:rFonts w:ascii="Tw Cen MT" w:hAnsi="Tw Cen MT" w:cs="TimesNewRomanPSMT"/>
        </w:rPr>
        <w:t>L'Europe et la France se comportent avec la Palestine comme avec un Etat : relations économiques et culturelles, rehaussement des délégations en ambassades... L'UE aide financièrement à la construction de l'Etat depuis des années et a employé le terme Etat (</w:t>
      </w:r>
      <w:r w:rsidRPr="001E2427">
        <w:rPr>
          <w:rFonts w:ascii="Tw Cen MT" w:hAnsi="Tw Cen MT" w:cs="TimesNewRomanPSMT"/>
          <w:i/>
        </w:rPr>
        <w:t>state</w:t>
      </w:r>
      <w:r w:rsidRPr="009B4A3A">
        <w:rPr>
          <w:rFonts w:ascii="Tw Cen MT" w:hAnsi="Tw Cen MT" w:cs="TimesNewRomanPSMT"/>
        </w:rPr>
        <w:t xml:space="preserve">) pour la Palestine lors d'un vote à la Cour de Justice européenne (CJE) en février 2010. L’Etat de Palestine a été admis à l’UNESCO en 2011, est devenu Etat observateur non membre à l’Assemblée générale des Nations unies en 2012 et a adhéré au statut de Rome de la Cour pénale internationale en 2014. </w:t>
      </w:r>
    </w:p>
    <w:p w:rsidR="003B0303" w:rsidRDefault="003B0303" w:rsidP="003B0303">
      <w:pPr>
        <w:jc w:val="both"/>
        <w:rPr>
          <w:rFonts w:ascii="Tw Cen MT" w:hAnsi="Tw Cen MT" w:cs="TimesNewRomanPSMT"/>
        </w:rPr>
      </w:pPr>
    </w:p>
    <w:p w:rsidR="003B0303" w:rsidRDefault="003B0303" w:rsidP="003B0303">
      <w:pPr>
        <w:jc w:val="both"/>
        <w:rPr>
          <w:rFonts w:ascii="Tw Cen MT" w:hAnsi="Tw Cen MT"/>
          <w:lang w:val="fr"/>
        </w:rPr>
      </w:pPr>
      <w:r w:rsidRPr="009B4A3A">
        <w:rPr>
          <w:rFonts w:ascii="Tw Cen MT" w:hAnsi="Tw Cen MT" w:cs="TimesNewRomanPSMT"/>
        </w:rPr>
        <w:t xml:space="preserve">Il manque aujourd’hui l’engagement officiel de la France et des pays membres de l’UE en reconnaissant l’Etat de Palestine </w:t>
      </w:r>
      <w:r w:rsidRPr="002677CB">
        <w:rPr>
          <w:rFonts w:ascii="Tw Cen MT" w:hAnsi="Tw Cen MT" w:cs="TimesNewRomanPS-BoldMT"/>
          <w:bCs/>
        </w:rPr>
        <w:t>dans ses frontières de 1967 et avec Jérusalem</w:t>
      </w:r>
      <w:r>
        <w:rPr>
          <w:rFonts w:ascii="Tw Cen MT" w:hAnsi="Tw Cen MT" w:cs="TimesNewRomanPS-BoldMT"/>
          <w:bCs/>
        </w:rPr>
        <w:t>-</w:t>
      </w:r>
      <w:r w:rsidRPr="002677CB">
        <w:rPr>
          <w:rFonts w:ascii="Tw Cen MT" w:hAnsi="Tw Cen MT" w:cs="TimesNewRomanPS-BoldMT"/>
          <w:bCs/>
        </w:rPr>
        <w:t>Est comme capitale</w:t>
      </w:r>
      <w:r w:rsidRPr="009B4A3A">
        <w:rPr>
          <w:rFonts w:ascii="Tw Cen MT" w:hAnsi="Tw Cen MT" w:cs="TimesNewRomanPSMT"/>
        </w:rPr>
        <w:t xml:space="preserve">. </w:t>
      </w:r>
      <w:r>
        <w:rPr>
          <w:rFonts w:ascii="Tw Cen MT" w:hAnsi="Tw Cen MT" w:cs="TimesNewRomanPSMT"/>
        </w:rPr>
        <w:t xml:space="preserve">Pourtant, voilà déjà trois ans que les Français-e-s ont </w:t>
      </w:r>
      <w:r w:rsidRPr="009B4A3A">
        <w:rPr>
          <w:rFonts w:ascii="Tw Cen MT" w:hAnsi="Tw Cen MT" w:cs="TimesNewRomanPSMT"/>
        </w:rPr>
        <w:t>exprimé à travers</w:t>
      </w:r>
      <w:r>
        <w:rPr>
          <w:rFonts w:ascii="Tw Cen MT" w:hAnsi="Tw Cen MT" w:cs="TimesNewRomanPSMT"/>
        </w:rPr>
        <w:t xml:space="preserve"> leur Parlement la volonté de reconnaître l’Etat palestinien</w:t>
      </w:r>
      <w:r w:rsidRPr="009B4A3A">
        <w:rPr>
          <w:rFonts w:ascii="Tw Cen MT" w:hAnsi="Tw Cen MT" w:cs="TimesNewRomanPSMT"/>
        </w:rPr>
        <w:t xml:space="preserve">. </w:t>
      </w:r>
      <w:r>
        <w:rPr>
          <w:rFonts w:ascii="Tw Cen MT" w:hAnsi="Tw Cen MT" w:cs="TimesNewRomanPSMT"/>
        </w:rPr>
        <w:t>En 2014, l</w:t>
      </w:r>
      <w:r w:rsidRPr="009B4A3A">
        <w:rPr>
          <w:rFonts w:ascii="Tw Cen MT" w:hAnsi="Tw Cen MT" w:cs="TimesNewRomanPSMT"/>
        </w:rPr>
        <w:t xml:space="preserve">’Assemblée nationale (à 339 voix pour et 151 contre) et le Sénat (à </w:t>
      </w:r>
      <w:r w:rsidRPr="009B4A3A">
        <w:rPr>
          <w:rFonts w:ascii="Tw Cen MT" w:hAnsi="Tw Cen MT"/>
        </w:rPr>
        <w:t>153 pour et 146 contre) invitaient effectivement</w:t>
      </w:r>
      <w:r>
        <w:rPr>
          <w:rFonts w:ascii="Tw Cen MT" w:hAnsi="Tw Cen MT"/>
        </w:rPr>
        <w:t xml:space="preserve">, </w:t>
      </w:r>
      <w:r w:rsidRPr="009B4A3A">
        <w:rPr>
          <w:rFonts w:ascii="Tw Cen MT" w:hAnsi="Tw Cen MT"/>
        </w:rPr>
        <w:t xml:space="preserve">dans </w:t>
      </w:r>
      <w:r>
        <w:rPr>
          <w:rFonts w:ascii="Tw Cen MT" w:hAnsi="Tw Cen MT"/>
        </w:rPr>
        <w:t>deux</w:t>
      </w:r>
      <w:r w:rsidRPr="009B4A3A">
        <w:rPr>
          <w:rFonts w:ascii="Tw Cen MT" w:hAnsi="Tw Cen MT"/>
        </w:rPr>
        <w:t xml:space="preserve"> résolution</w:t>
      </w:r>
      <w:r>
        <w:rPr>
          <w:rFonts w:ascii="Tw Cen MT" w:hAnsi="Tw Cen MT"/>
        </w:rPr>
        <w:t>s,</w:t>
      </w:r>
      <w:r w:rsidRPr="009B4A3A">
        <w:rPr>
          <w:rFonts w:ascii="Tw Cen MT" w:hAnsi="Tw Cen MT"/>
        </w:rPr>
        <w:t xml:space="preserve"> « </w:t>
      </w:r>
      <w:r w:rsidRPr="009B4A3A">
        <w:rPr>
          <w:rFonts w:ascii="Tw Cen MT" w:hAnsi="Tw Cen MT"/>
          <w:iCs/>
          <w:lang w:val="fr"/>
        </w:rPr>
        <w:t>le gouvernement français à reconnaître l'Etat de Palestine en vue d'obtenir un règlement définitif du conflit</w:t>
      </w:r>
      <w:r w:rsidRPr="009B4A3A">
        <w:rPr>
          <w:rFonts w:ascii="Tw Cen MT" w:hAnsi="Tw Cen MT"/>
          <w:lang w:val="fr"/>
        </w:rPr>
        <w:t> ».</w:t>
      </w:r>
      <w:r>
        <w:rPr>
          <w:rFonts w:ascii="Tw Cen MT" w:hAnsi="Tw Cen MT"/>
          <w:lang w:val="fr"/>
        </w:rPr>
        <w:t xml:space="preserve"> </w:t>
      </w:r>
    </w:p>
    <w:p w:rsidR="003B0303" w:rsidRPr="00735548" w:rsidRDefault="003B0303" w:rsidP="003B0303">
      <w:pPr>
        <w:jc w:val="both"/>
      </w:pPr>
    </w:p>
    <w:p w:rsidR="003B0303" w:rsidRPr="00D56314" w:rsidRDefault="003B0303" w:rsidP="003B0303">
      <w:pPr>
        <w:autoSpaceDE w:val="0"/>
        <w:autoSpaceDN w:val="0"/>
        <w:adjustRightInd w:val="0"/>
        <w:jc w:val="both"/>
        <w:rPr>
          <w:rFonts w:ascii="Tw Cen MT" w:hAnsi="Tw Cen MT" w:cs="Calibri"/>
          <w:b/>
          <w:color w:val="10AC04"/>
          <w:sz w:val="26"/>
          <w:szCs w:val="26"/>
          <w:lang w:val="fr"/>
        </w:rPr>
      </w:pPr>
      <w:r w:rsidRPr="00D56314">
        <w:rPr>
          <w:rFonts w:ascii="Tw Cen MT" w:hAnsi="Tw Cen MT" w:cs="Calibri"/>
          <w:b/>
          <w:color w:val="10AC04"/>
          <w:sz w:val="26"/>
          <w:szCs w:val="26"/>
          <w:lang w:val="fr"/>
        </w:rPr>
        <w:t>Demande phare </w:t>
      </w:r>
    </w:p>
    <w:p w:rsidR="003B0303" w:rsidRDefault="003B0303" w:rsidP="003B0303">
      <w:pPr>
        <w:autoSpaceDE w:val="0"/>
        <w:autoSpaceDN w:val="0"/>
        <w:adjustRightInd w:val="0"/>
        <w:jc w:val="both"/>
        <w:rPr>
          <w:rFonts w:ascii="Tw Cen MT" w:hAnsi="Tw Cen MT" w:cs="Calibri"/>
          <w:lang w:val="fr"/>
        </w:rPr>
      </w:pPr>
    </w:p>
    <w:p w:rsidR="003B0303" w:rsidRPr="007F71ED" w:rsidRDefault="003B0303" w:rsidP="003B0303">
      <w:pPr>
        <w:autoSpaceDE w:val="0"/>
        <w:autoSpaceDN w:val="0"/>
        <w:adjustRightInd w:val="0"/>
        <w:jc w:val="both"/>
        <w:rPr>
          <w:rFonts w:ascii="Tw Cen MT" w:hAnsi="Tw Cen MT" w:cs="Calibri"/>
          <w:b/>
          <w:lang w:val="fr"/>
        </w:rPr>
      </w:pPr>
      <w:r w:rsidRPr="007F71ED">
        <w:rPr>
          <w:rFonts w:ascii="Tw Cen MT" w:hAnsi="Tw Cen MT" w:cs="Calibri"/>
          <w:b/>
          <w:lang w:val="fr"/>
        </w:rPr>
        <w:t>Interpeller le Président pour qu’il reconnaisse</w:t>
      </w:r>
      <w:r>
        <w:rPr>
          <w:rFonts w:ascii="Tw Cen MT" w:hAnsi="Tw Cen MT" w:cs="Calibri"/>
          <w:b/>
          <w:lang w:val="fr"/>
        </w:rPr>
        <w:t xml:space="preserve"> officiellement et de manière directe</w:t>
      </w:r>
      <w:r w:rsidRPr="007F71ED">
        <w:rPr>
          <w:rFonts w:ascii="Tw Cen MT" w:hAnsi="Tw Cen MT" w:cs="Calibri"/>
          <w:b/>
          <w:lang w:val="fr"/>
        </w:rPr>
        <w:t xml:space="preserve"> l’Etat de Palestine</w:t>
      </w:r>
      <w:r>
        <w:rPr>
          <w:rFonts w:ascii="Tw Cen MT" w:hAnsi="Tw Cen MT" w:cs="Calibri"/>
          <w:b/>
          <w:lang w:val="fr"/>
        </w:rPr>
        <w:t>.</w:t>
      </w:r>
    </w:p>
    <w:p w:rsidR="003B0303" w:rsidRDefault="003B0303" w:rsidP="003B0303">
      <w:pPr>
        <w:autoSpaceDE w:val="0"/>
        <w:autoSpaceDN w:val="0"/>
        <w:adjustRightInd w:val="0"/>
        <w:jc w:val="both"/>
        <w:rPr>
          <w:rFonts w:ascii="Tw Cen MT" w:hAnsi="Tw Cen MT" w:cs="Calibri"/>
          <w:lang w:val="fr"/>
        </w:rPr>
      </w:pPr>
    </w:p>
    <w:p w:rsidR="003B0303" w:rsidRDefault="003B0303" w:rsidP="003B0303">
      <w:pPr>
        <w:autoSpaceDE w:val="0"/>
        <w:autoSpaceDN w:val="0"/>
        <w:adjustRightInd w:val="0"/>
        <w:jc w:val="both"/>
        <w:rPr>
          <w:rFonts w:ascii="Tw Cen MT" w:hAnsi="Tw Cen MT" w:cs="Calibri"/>
          <w:lang w:val="fr"/>
        </w:rPr>
      </w:pPr>
    </w:p>
    <w:p w:rsidR="003B0303" w:rsidRPr="009B4A3A" w:rsidRDefault="003B0303" w:rsidP="003B0303">
      <w:pPr>
        <w:autoSpaceDE w:val="0"/>
        <w:autoSpaceDN w:val="0"/>
        <w:adjustRightInd w:val="0"/>
        <w:jc w:val="both"/>
        <w:rPr>
          <w:rFonts w:ascii="Tw Cen MT" w:hAnsi="Tw Cen MT" w:cs="Calibri"/>
          <w:lang w:val="fr"/>
        </w:rPr>
      </w:pPr>
    </w:p>
    <w:p w:rsidR="00877A94" w:rsidRPr="00DC646D" w:rsidRDefault="00877A94" w:rsidP="00DC646D">
      <w:pPr>
        <w:spacing w:after="120" w:line="276" w:lineRule="auto"/>
        <w:jc w:val="both"/>
        <w:rPr>
          <w:rFonts w:ascii="Calibri Light" w:hAnsi="Calibri Light" w:cs="Calibri Light"/>
          <w:sz w:val="22"/>
          <w:szCs w:val="20"/>
        </w:rPr>
      </w:pPr>
    </w:p>
    <w:sectPr w:rsidR="00877A94" w:rsidRPr="00DC646D" w:rsidSect="0060744C">
      <w:footerReference w:type="default" r:id="rId14"/>
      <w:pgSz w:w="11900" w:h="16840"/>
      <w:pgMar w:top="567" w:right="1134" w:bottom="73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E5" w:rsidRDefault="003355E5" w:rsidP="003355E5">
      <w:r>
        <w:separator/>
      </w:r>
    </w:p>
  </w:endnote>
  <w:endnote w:type="continuationSeparator" w:id="0">
    <w:p w:rsidR="003355E5" w:rsidRDefault="003355E5" w:rsidP="003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00"/>
    <w:family w:val="roman"/>
    <w:notTrueType/>
    <w:pitch w:val="default"/>
  </w:font>
  <w:font w:name="UniversLTStd-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4C" w:rsidRPr="003B0303" w:rsidRDefault="0060744C" w:rsidP="0060744C">
    <w:pPr>
      <w:ind w:left="1276"/>
      <w:jc w:val="center"/>
      <w:rPr>
        <w:rFonts w:ascii="Calibri Light" w:hAnsi="Calibri Light" w:cs="Calibri Light"/>
        <w:sz w:val="20"/>
        <w:szCs w:val="20"/>
      </w:rPr>
    </w:pPr>
    <w:r w:rsidRPr="003B0303">
      <w:rPr>
        <w:rFonts w:ascii="Calibri Light" w:hAnsi="Calibri Light" w:cs="Calibri Light"/>
        <w:sz w:val="20"/>
        <w:szCs w:val="20"/>
      </w:rPr>
      <w:t xml:space="preserve">Plateforme des ONG françaises pour la Palestine – </w:t>
    </w:r>
    <w:hyperlink r:id="rId1" w:history="1">
      <w:r w:rsidRPr="003B0303">
        <w:rPr>
          <w:rStyle w:val="Lienhypertexte"/>
          <w:rFonts w:ascii="Calibri Light" w:hAnsi="Calibri Light" w:cs="Calibri Light"/>
          <w:sz w:val="20"/>
          <w:szCs w:val="20"/>
        </w:rPr>
        <w:t>http://plateforme-palestine.org</w:t>
      </w:r>
    </w:hyperlink>
  </w:p>
  <w:p w:rsidR="0060744C" w:rsidRPr="003B0303" w:rsidRDefault="0060744C" w:rsidP="0060744C">
    <w:pPr>
      <w:ind w:left="1276"/>
      <w:jc w:val="center"/>
      <w:rPr>
        <w:rFonts w:ascii="Calibri Light" w:hAnsi="Calibri Light" w:cs="Calibri Light"/>
        <w:sz w:val="20"/>
        <w:szCs w:val="20"/>
      </w:rPr>
    </w:pPr>
    <w:r w:rsidRPr="003B0303">
      <w:rPr>
        <w:rFonts w:ascii="Calibri Light" w:hAnsi="Calibri Light" w:cs="Calibri Light"/>
        <w:sz w:val="20"/>
        <w:szCs w:val="20"/>
      </w:rPr>
      <w:t xml:space="preserve">14, passage Dubail - 75010 Paris - 01 40 36 41 46 - </w:t>
    </w:r>
    <w:hyperlink r:id="rId2" w:history="1">
      <w:r w:rsidRPr="003B0303">
        <w:rPr>
          <w:rStyle w:val="Lienhypertexte"/>
          <w:rFonts w:ascii="Calibri Light" w:hAnsi="Calibri Light" w:cs="Calibri Light"/>
          <w:sz w:val="20"/>
          <w:szCs w:val="20"/>
        </w:rPr>
        <w:t>contact@plateforme-palestine.org</w:t>
      </w:r>
    </w:hyperlink>
  </w:p>
  <w:p w:rsidR="003355E5" w:rsidRPr="000F590F" w:rsidRDefault="003355E5" w:rsidP="0060744C">
    <w:pPr>
      <w:pStyle w:val="texte"/>
      <w:spacing w:line="240" w:lineRule="auto"/>
      <w:jc w:val="both"/>
      <w:rPr>
        <w:rFonts w:hint="eastAsia"/>
        <w:sz w:val="12"/>
        <w:szCs w:val="12"/>
      </w:rPr>
    </w:pPr>
  </w:p>
  <w:p w:rsidR="003355E5" w:rsidRDefault="003355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E5" w:rsidRDefault="003355E5" w:rsidP="003355E5">
      <w:r>
        <w:separator/>
      </w:r>
    </w:p>
  </w:footnote>
  <w:footnote w:type="continuationSeparator" w:id="0">
    <w:p w:rsidR="003355E5" w:rsidRDefault="003355E5" w:rsidP="003355E5">
      <w:r>
        <w:continuationSeparator/>
      </w:r>
    </w:p>
  </w:footnote>
  <w:footnote w:id="1">
    <w:p w:rsidR="003B0303" w:rsidRPr="006319A0" w:rsidRDefault="003B0303" w:rsidP="003B0303">
      <w:pPr>
        <w:pStyle w:val="Notedebasdepage"/>
        <w:jc w:val="both"/>
        <w:rPr>
          <w:rFonts w:ascii="Calibri" w:hAnsi="Calibri" w:cs="Calibri"/>
          <w:sz w:val="18"/>
        </w:rPr>
      </w:pPr>
      <w:r w:rsidRPr="006319A0">
        <w:rPr>
          <w:rStyle w:val="Appelnotedebasdep"/>
          <w:rFonts w:ascii="Calibri" w:hAnsi="Calibri" w:cs="Calibri"/>
          <w:sz w:val="18"/>
        </w:rPr>
        <w:footnoteRef/>
      </w:r>
      <w:r w:rsidRPr="006319A0">
        <w:rPr>
          <w:rFonts w:ascii="Calibri" w:hAnsi="Calibri" w:cs="Calibri"/>
          <w:sz w:val="18"/>
        </w:rPr>
        <w:t xml:space="preserve"> </w:t>
      </w:r>
      <w:hyperlink r:id="rId1" w:anchor="nh7" w:history="1">
        <w:r w:rsidRPr="006319A0">
          <w:rPr>
            <w:rStyle w:val="Lienhypertexte"/>
            <w:rFonts w:ascii="Calibri" w:hAnsi="Calibri" w:cs="Calibri"/>
            <w:sz w:val="18"/>
          </w:rPr>
          <w:t>https://www.fidh.org/fr/regions/maghreb-moyen-orient/israel-palestine/declaration-de-la-fidh-sur-le-droit-de-participer-et-a-appeler-au#nh7</w:t>
        </w:r>
      </w:hyperlink>
      <w:r w:rsidRPr="006319A0">
        <w:rPr>
          <w:rFonts w:ascii="Calibri" w:hAnsi="Calibri" w:cs="Calibri"/>
          <w:sz w:val="18"/>
        </w:rPr>
        <w:t xml:space="preserve"> </w:t>
      </w:r>
    </w:p>
  </w:footnote>
  <w:footnote w:id="2">
    <w:p w:rsidR="003B0303" w:rsidRPr="006319A0" w:rsidRDefault="003B0303" w:rsidP="003B0303">
      <w:pPr>
        <w:pStyle w:val="Titre1"/>
        <w:spacing w:before="0" w:beforeAutospacing="0" w:after="0" w:afterAutospacing="0"/>
        <w:jc w:val="both"/>
        <w:rPr>
          <w:rFonts w:ascii="Calibri" w:hAnsi="Calibri" w:cs="Calibri"/>
          <w:sz w:val="44"/>
        </w:rPr>
      </w:pPr>
      <w:r w:rsidRPr="006319A0">
        <w:rPr>
          <w:rStyle w:val="Appelnotedebasdep"/>
          <w:rFonts w:ascii="Calibri" w:hAnsi="Calibri" w:cs="Calibri"/>
          <w:b w:val="0"/>
          <w:sz w:val="18"/>
          <w:szCs w:val="20"/>
        </w:rPr>
        <w:footnoteRef/>
      </w:r>
      <w:r w:rsidRPr="006319A0">
        <w:rPr>
          <w:rFonts w:ascii="Calibri" w:hAnsi="Calibri" w:cs="Calibri"/>
          <w:b w:val="0"/>
          <w:sz w:val="18"/>
          <w:szCs w:val="20"/>
        </w:rPr>
        <w:t xml:space="preserve"> </w:t>
      </w:r>
      <w:hyperlink r:id="rId2" w:history="1">
        <w:r w:rsidRPr="006319A0">
          <w:rPr>
            <w:rStyle w:val="Lienhypertexte"/>
            <w:rFonts w:ascii="Calibri" w:hAnsi="Calibri" w:cs="Calibri"/>
            <w:b w:val="0"/>
            <w:sz w:val="18"/>
            <w:szCs w:val="20"/>
          </w:rPr>
          <w:t>http://www.aurdip.fr/les-menaces-du-gouvernement.html</w:t>
        </w:r>
      </w:hyperlink>
      <w:r w:rsidRPr="006319A0">
        <w:rPr>
          <w:rFonts w:ascii="Calibri" w:hAnsi="Calibri" w:cs="Calibri"/>
          <w:b w:val="0"/>
          <w:sz w:val="18"/>
          <w:szCs w:val="20"/>
        </w:rPr>
        <w:t xml:space="preserve"> </w:t>
      </w:r>
    </w:p>
  </w:footnote>
  <w:footnote w:id="3">
    <w:p w:rsidR="003B0303" w:rsidRPr="006319A0" w:rsidRDefault="003B0303" w:rsidP="003B0303">
      <w:pPr>
        <w:pStyle w:val="Notedebasdepage"/>
        <w:jc w:val="both"/>
        <w:rPr>
          <w:rFonts w:ascii="Calibri" w:hAnsi="Calibri" w:cs="Calibri"/>
          <w:sz w:val="18"/>
        </w:rPr>
      </w:pPr>
      <w:r w:rsidRPr="006319A0">
        <w:rPr>
          <w:rStyle w:val="Appelnotedebasdep"/>
          <w:rFonts w:ascii="Calibri" w:hAnsi="Calibri" w:cs="Calibri"/>
          <w:sz w:val="18"/>
        </w:rPr>
        <w:footnoteRef/>
      </w:r>
      <w:r w:rsidRPr="006319A0">
        <w:rPr>
          <w:rFonts w:ascii="Calibri" w:hAnsi="Calibri" w:cs="Calibri"/>
          <w:sz w:val="18"/>
        </w:rPr>
        <w:t xml:space="preserve"> </w:t>
      </w:r>
      <w:hyperlink r:id="rId3" w:history="1">
        <w:r w:rsidRPr="006319A0">
          <w:rPr>
            <w:rStyle w:val="Lienhypertexte"/>
            <w:rFonts w:ascii="Calibri" w:hAnsi="Calibri" w:cs="Calibri"/>
            <w:sz w:val="18"/>
          </w:rPr>
          <w:t>http://www.liberation.fr/planete/2016/04/24/l-appel-pacifique-au-boycott-un-droit-en-danger_1448312</w:t>
        </w:r>
      </w:hyperlink>
      <w:r w:rsidRPr="006319A0">
        <w:rPr>
          <w:rFonts w:ascii="Calibri" w:hAnsi="Calibri" w:cs="Calibri"/>
          <w:sz w:val="18"/>
        </w:rPr>
        <w:t xml:space="preserve"> </w:t>
      </w:r>
    </w:p>
  </w:footnote>
  <w:footnote w:id="4">
    <w:p w:rsidR="003B0303" w:rsidRPr="00BC11AA" w:rsidRDefault="003B0303" w:rsidP="003B0303">
      <w:pPr>
        <w:pStyle w:val="Notedebasdepage"/>
        <w:rPr>
          <w:rFonts w:ascii="Calibri" w:hAnsi="Calibri" w:cs="Calibri"/>
        </w:rPr>
      </w:pPr>
      <w:r w:rsidRPr="00BC11AA">
        <w:rPr>
          <w:rStyle w:val="Appelnotedebasdep"/>
          <w:rFonts w:ascii="Calibri" w:hAnsi="Calibri" w:cs="Calibri"/>
        </w:rPr>
        <w:footnoteRef/>
      </w:r>
      <w:r w:rsidRPr="00BC11AA">
        <w:rPr>
          <w:rFonts w:ascii="Calibri" w:hAnsi="Calibri" w:cs="Calibri"/>
        </w:rPr>
        <w:t xml:space="preserve"> </w:t>
      </w:r>
      <w:r w:rsidRPr="00BC11AA">
        <w:rPr>
          <w:rFonts w:ascii="Calibri" w:hAnsi="Calibri" w:cs="Calibri"/>
          <w:sz w:val="18"/>
          <w:szCs w:val="18"/>
        </w:rPr>
        <w:t>L’article 49 de la Convention de Genève interdit à la puissance occupante (en l’occurrence Israël) de « procéder à la déportation ou au transfert d’une partie de sa propre population civile dans le territoire occupé par elle ». Israël a ratifié cette convention et est donc tenu de la respecter.</w:t>
      </w:r>
    </w:p>
  </w:footnote>
  <w:footnote w:id="5">
    <w:p w:rsidR="003B0303" w:rsidRPr="006319A0" w:rsidRDefault="003B0303" w:rsidP="003B0303">
      <w:pPr>
        <w:pStyle w:val="NormalWeb"/>
        <w:spacing w:before="0" w:beforeAutospacing="0" w:after="0" w:afterAutospacing="0"/>
        <w:jc w:val="both"/>
        <w:rPr>
          <w:rFonts w:ascii="Calibri" w:hAnsi="Calibri" w:cs="Calibri"/>
          <w:sz w:val="18"/>
          <w:szCs w:val="18"/>
        </w:rPr>
      </w:pPr>
      <w:r w:rsidRPr="00BC11AA">
        <w:rPr>
          <w:rStyle w:val="Appelnotedebasdep"/>
          <w:rFonts w:ascii="Calibri" w:hAnsi="Calibri" w:cs="Calibri"/>
          <w:sz w:val="18"/>
          <w:szCs w:val="18"/>
        </w:rPr>
        <w:footnoteRef/>
      </w:r>
      <w:r w:rsidRPr="006319A0">
        <w:rPr>
          <w:rFonts w:ascii="Calibri" w:hAnsi="Calibri" w:cs="Calibri"/>
          <w:sz w:val="18"/>
          <w:szCs w:val="18"/>
        </w:rPr>
        <w:t xml:space="preserve"> Voir l’article 1 de la Quatrième Convention de Genève et l’avis de la Cour internationale de Justice du 9 juillet 2004. </w:t>
      </w:r>
    </w:p>
  </w:footnote>
  <w:footnote w:id="6">
    <w:p w:rsidR="003B0303" w:rsidRPr="00E70B5A" w:rsidRDefault="003B0303" w:rsidP="003B0303">
      <w:pPr>
        <w:pStyle w:val="Notedebasdepage"/>
        <w:rPr>
          <w:rFonts w:ascii="Calibri Light" w:hAnsi="Calibri Light" w:cs="Calibri Light"/>
          <w:sz w:val="18"/>
          <w:szCs w:val="18"/>
          <w:lang w:val="fr-FR"/>
        </w:rPr>
      </w:pPr>
      <w:r w:rsidRPr="00E70B5A">
        <w:rPr>
          <w:rStyle w:val="Appelnotedebasdep"/>
          <w:rFonts w:ascii="Calibri Light" w:hAnsi="Calibri Light" w:cs="Calibri Light"/>
          <w:sz w:val="18"/>
          <w:szCs w:val="18"/>
        </w:rPr>
        <w:footnoteRef/>
      </w:r>
      <w:r w:rsidRPr="00E70B5A">
        <w:rPr>
          <w:rFonts w:ascii="Calibri Light" w:hAnsi="Calibri Light" w:cs="Calibri Light"/>
          <w:sz w:val="18"/>
          <w:szCs w:val="18"/>
        </w:rPr>
        <w:t xml:space="preserve"> </w:t>
      </w:r>
      <w:r w:rsidRPr="00E70B5A">
        <w:rPr>
          <w:rFonts w:ascii="Calibri Light" w:hAnsi="Calibri Light" w:cs="Calibri Light"/>
          <w:sz w:val="18"/>
          <w:szCs w:val="18"/>
          <w:lang w:val="fr-FR"/>
        </w:rPr>
        <w:t xml:space="preserve">Voir le rapport de plusieurs ONG « Les liaisons dangereuses de banques françaises avec la colonisation israélienne », </w:t>
      </w:r>
      <w:hyperlink r:id="rId4" w:history="1">
        <w:r w:rsidRPr="00E70B5A">
          <w:rPr>
            <w:rStyle w:val="Lienhypertexte"/>
            <w:rFonts w:ascii="Calibri Light" w:hAnsi="Calibri Light" w:cs="Calibri Light"/>
            <w:sz w:val="18"/>
            <w:szCs w:val="18"/>
          </w:rPr>
          <w:t>http://plateforme-palestine.org/IMG/pdf/2017_parodiebanque_brochure_fc_ca_v11.pdf</w:t>
        </w:r>
      </w:hyperlink>
      <w:r w:rsidRPr="00E70B5A">
        <w:rPr>
          <w:rFonts w:ascii="Calibri Light" w:hAnsi="Calibri Light" w:cs="Calibri Light"/>
          <w:sz w:val="18"/>
          <w:szCs w:val="18"/>
          <w:lang w:val="fr-FR"/>
        </w:rPr>
        <w:t xml:space="preserve"> </w:t>
      </w:r>
    </w:p>
  </w:footnote>
  <w:footnote w:id="7">
    <w:p w:rsidR="003B0303" w:rsidRPr="00E70B5A" w:rsidRDefault="003B0303" w:rsidP="003B0303">
      <w:pPr>
        <w:pStyle w:val="Notedebasdepage"/>
        <w:rPr>
          <w:rFonts w:ascii="Calibri" w:hAnsi="Calibri" w:cs="Calibri"/>
          <w:sz w:val="18"/>
          <w:szCs w:val="18"/>
        </w:rPr>
      </w:pPr>
      <w:r w:rsidRPr="00E70B5A">
        <w:rPr>
          <w:rStyle w:val="Appelnotedebasdep"/>
          <w:rFonts w:ascii="Calibri" w:hAnsi="Calibri" w:cs="Calibri"/>
          <w:sz w:val="18"/>
          <w:szCs w:val="18"/>
        </w:rPr>
        <w:footnoteRef/>
      </w:r>
      <w:r w:rsidRPr="00E70B5A">
        <w:rPr>
          <w:rFonts w:ascii="Calibri" w:hAnsi="Calibri" w:cs="Calibri"/>
          <w:sz w:val="18"/>
          <w:szCs w:val="18"/>
        </w:rPr>
        <w:t xml:space="preserve"> </w:t>
      </w:r>
      <w:hyperlink r:id="rId5" w:history="1">
        <w:r w:rsidRPr="00E70B5A">
          <w:rPr>
            <w:rStyle w:val="Lienhypertexte"/>
            <w:rFonts w:ascii="Calibri" w:hAnsi="Calibri" w:cs="Calibri"/>
            <w:iCs/>
            <w:sz w:val="18"/>
            <w:szCs w:val="18"/>
          </w:rPr>
          <w:t>http://www.ochaopt.org/sites/default/files/gaza_fact_sheet_august_2016_english.pdf</w:t>
        </w:r>
      </w:hyperlink>
      <w:r w:rsidRPr="00E70B5A">
        <w:rPr>
          <w:rFonts w:ascii="Calibri" w:hAnsi="Calibri" w:cs="Calibri"/>
          <w:iCs/>
          <w:sz w:val="18"/>
          <w:szCs w:val="18"/>
        </w:rPr>
        <w:t xml:space="preserve"> </w:t>
      </w:r>
    </w:p>
  </w:footnote>
  <w:footnote w:id="8">
    <w:p w:rsidR="003B0303" w:rsidRPr="00E70B5A" w:rsidRDefault="003B0303" w:rsidP="003B0303">
      <w:pPr>
        <w:pStyle w:val="Notedebasdepage"/>
        <w:rPr>
          <w:rFonts w:ascii="Calibri" w:hAnsi="Calibri" w:cs="Calibri"/>
          <w:sz w:val="18"/>
          <w:szCs w:val="18"/>
        </w:rPr>
      </w:pPr>
      <w:r w:rsidRPr="00E70B5A">
        <w:rPr>
          <w:rStyle w:val="Appelnotedebasdep"/>
          <w:rFonts w:ascii="Calibri" w:hAnsi="Calibri" w:cs="Calibri"/>
          <w:sz w:val="18"/>
          <w:szCs w:val="18"/>
        </w:rPr>
        <w:footnoteRef/>
      </w:r>
      <w:r w:rsidRPr="00E70B5A">
        <w:rPr>
          <w:rFonts w:ascii="Calibri" w:hAnsi="Calibri" w:cs="Calibri"/>
          <w:sz w:val="18"/>
          <w:szCs w:val="18"/>
        </w:rPr>
        <w:t xml:space="preserve"> </w:t>
      </w:r>
      <w:hyperlink r:id="rId6" w:history="1">
        <w:r w:rsidRPr="00E70B5A">
          <w:rPr>
            <w:rStyle w:val="Lienhypertexte"/>
            <w:rFonts w:ascii="Calibri" w:hAnsi="Calibri" w:cs="Calibri"/>
            <w:sz w:val="18"/>
            <w:szCs w:val="18"/>
          </w:rPr>
          <w:t>http://unctad.org/fr/PublicationsLibrary/tdb62d3_fr.pdf</w:t>
        </w:r>
      </w:hyperlink>
      <w:r w:rsidRPr="00E70B5A">
        <w:rPr>
          <w:rFonts w:ascii="Calibri" w:hAnsi="Calibri" w:cs="Calibri"/>
          <w:sz w:val="18"/>
          <w:szCs w:val="18"/>
        </w:rPr>
        <w:t xml:space="preserve"> </w:t>
      </w:r>
    </w:p>
  </w:footnote>
  <w:footnote w:id="9">
    <w:p w:rsidR="003B0303" w:rsidRPr="00BE471A" w:rsidRDefault="003B0303" w:rsidP="003B0303">
      <w:pPr>
        <w:pStyle w:val="Notedebasdepage"/>
        <w:rPr>
          <w:lang w:val="fr-FR"/>
        </w:rPr>
      </w:pPr>
      <w:r w:rsidRPr="00E70B5A">
        <w:rPr>
          <w:rStyle w:val="Appelnotedebasdep"/>
          <w:rFonts w:ascii="Calibri" w:hAnsi="Calibri" w:cs="Calibri"/>
          <w:sz w:val="18"/>
          <w:szCs w:val="18"/>
        </w:rPr>
        <w:footnoteRef/>
      </w:r>
      <w:r w:rsidRPr="00E70B5A">
        <w:rPr>
          <w:rFonts w:ascii="Calibri" w:hAnsi="Calibri" w:cs="Calibri"/>
          <w:sz w:val="18"/>
          <w:szCs w:val="18"/>
          <w:lang w:val="fr-FR"/>
        </w:rPr>
        <w:t xml:space="preserve"> </w:t>
      </w:r>
      <w:r w:rsidRPr="00E70B5A">
        <w:rPr>
          <w:rFonts w:ascii="Calibri" w:hAnsi="Calibri" w:cs="Calibri"/>
          <w:i/>
          <w:sz w:val="18"/>
          <w:szCs w:val="18"/>
          <w:lang w:val="fr-FR"/>
        </w:rPr>
        <w:t>Ibid</w:t>
      </w:r>
      <w:r w:rsidRPr="00E70B5A">
        <w:rPr>
          <w:rFonts w:ascii="Calibri" w:hAnsi="Calibri" w:cs="Calibri"/>
          <w:sz w:val="18"/>
          <w:szCs w:val="18"/>
          <w:lang w:val="fr-FR"/>
        </w:rPr>
        <w:t>.</w:t>
      </w:r>
    </w:p>
  </w:footnote>
  <w:footnote w:id="10">
    <w:p w:rsidR="003B0303" w:rsidRPr="006319A0" w:rsidRDefault="003B0303" w:rsidP="003B0303">
      <w:pPr>
        <w:pStyle w:val="Notedebasdepage"/>
        <w:jc w:val="both"/>
        <w:rPr>
          <w:rFonts w:ascii="Calibri" w:hAnsi="Calibri" w:cs="Calibri"/>
          <w:sz w:val="18"/>
          <w:szCs w:val="22"/>
        </w:rPr>
      </w:pPr>
      <w:r w:rsidRPr="006319A0">
        <w:rPr>
          <w:rStyle w:val="Appelnotedebasdep"/>
          <w:rFonts w:ascii="Calibri" w:hAnsi="Calibri" w:cs="Calibri"/>
          <w:sz w:val="18"/>
          <w:szCs w:val="22"/>
        </w:rPr>
        <w:footnoteRef/>
      </w:r>
      <w:r w:rsidRPr="006319A0">
        <w:rPr>
          <w:rFonts w:ascii="Calibri" w:hAnsi="Calibri" w:cs="Calibri"/>
          <w:sz w:val="18"/>
          <w:szCs w:val="22"/>
        </w:rPr>
        <w:t xml:space="preserve"> Le 29 novembre 1947, l'Assemblée générale des Nations unies se prononçait pour le partage de la Palestine en deux Etats, l'un « juif » sur 56% du territoire, l'autre « arabe » sur 42%, Jérusalem ayant, sur les 2% restants, un statut international. L'Etat d'Israël a été créé le 14 mai 1948. En 1988, l'O</w:t>
      </w:r>
      <w:r>
        <w:rPr>
          <w:rFonts w:ascii="Calibri" w:hAnsi="Calibri" w:cs="Calibri"/>
          <w:sz w:val="18"/>
          <w:szCs w:val="22"/>
          <w:lang w:val="fr-FR"/>
        </w:rPr>
        <w:t xml:space="preserve">rganisation de </w:t>
      </w:r>
      <w:r w:rsidRPr="006319A0">
        <w:rPr>
          <w:rFonts w:ascii="Calibri" w:hAnsi="Calibri" w:cs="Calibri"/>
          <w:sz w:val="18"/>
          <w:szCs w:val="22"/>
        </w:rPr>
        <w:t>L</w:t>
      </w:r>
      <w:r>
        <w:rPr>
          <w:rFonts w:ascii="Calibri" w:hAnsi="Calibri" w:cs="Calibri"/>
          <w:sz w:val="18"/>
          <w:szCs w:val="22"/>
          <w:lang w:val="fr-FR"/>
        </w:rPr>
        <w:t xml:space="preserve">ibération pour la </w:t>
      </w:r>
      <w:r w:rsidRPr="006319A0">
        <w:rPr>
          <w:rFonts w:ascii="Calibri" w:hAnsi="Calibri" w:cs="Calibri"/>
          <w:sz w:val="18"/>
          <w:szCs w:val="22"/>
        </w:rPr>
        <w:t>P</w:t>
      </w:r>
      <w:r>
        <w:rPr>
          <w:rFonts w:ascii="Calibri" w:hAnsi="Calibri" w:cs="Calibri"/>
          <w:sz w:val="18"/>
          <w:szCs w:val="22"/>
          <w:lang w:val="fr-FR"/>
        </w:rPr>
        <w:t>alestine</w:t>
      </w:r>
      <w:r w:rsidRPr="006319A0">
        <w:rPr>
          <w:rFonts w:ascii="Calibri" w:hAnsi="Calibri" w:cs="Calibri"/>
          <w:sz w:val="18"/>
          <w:szCs w:val="22"/>
        </w:rPr>
        <w:t xml:space="preserve"> a déclaré l'indépendance de la Palestine.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A47"/>
    <w:multiLevelType w:val="hybridMultilevel"/>
    <w:tmpl w:val="D52A5040"/>
    <w:lvl w:ilvl="0" w:tplc="64AC869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1597E18"/>
    <w:multiLevelType w:val="hybridMultilevel"/>
    <w:tmpl w:val="5E2E97F0"/>
    <w:lvl w:ilvl="0" w:tplc="64AC869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7E22948"/>
    <w:multiLevelType w:val="hybridMultilevel"/>
    <w:tmpl w:val="F5DEC80E"/>
    <w:lvl w:ilvl="0" w:tplc="3BFEE6C2">
      <w:start w:val="1"/>
      <w:numFmt w:val="bullet"/>
      <w:lvlText w:val="-"/>
      <w:lvlJc w:val="left"/>
      <w:pPr>
        <w:ind w:left="720" w:hanging="360"/>
      </w:pPr>
      <w:rPr>
        <w:rFonts w:ascii="Tw Cen MT" w:eastAsia="Calibri" w:hAnsi="Tw Cen MT" w:cs="Wingdings" w:hint="default"/>
        <w:color w:val="auto"/>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8B7A93"/>
    <w:multiLevelType w:val="multilevel"/>
    <w:tmpl w:val="5ECC3318"/>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284"/>
  <w:drawingGridVerticalSpacing w:val="284"/>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EF"/>
    <w:rsid w:val="000D538D"/>
    <w:rsid w:val="000F590F"/>
    <w:rsid w:val="00111BCA"/>
    <w:rsid w:val="00175B7B"/>
    <w:rsid w:val="00184F9D"/>
    <w:rsid w:val="001972B0"/>
    <w:rsid w:val="001C2DC9"/>
    <w:rsid w:val="001E75FE"/>
    <w:rsid w:val="00246385"/>
    <w:rsid w:val="00295228"/>
    <w:rsid w:val="002A02FB"/>
    <w:rsid w:val="003355E5"/>
    <w:rsid w:val="003969D0"/>
    <w:rsid w:val="003A4C64"/>
    <w:rsid w:val="003B0303"/>
    <w:rsid w:val="003D5F6E"/>
    <w:rsid w:val="00410B71"/>
    <w:rsid w:val="00462DDD"/>
    <w:rsid w:val="00483A67"/>
    <w:rsid w:val="004A5D80"/>
    <w:rsid w:val="004A6BCB"/>
    <w:rsid w:val="004E0FD1"/>
    <w:rsid w:val="004F134F"/>
    <w:rsid w:val="0053042D"/>
    <w:rsid w:val="00541E70"/>
    <w:rsid w:val="0054500F"/>
    <w:rsid w:val="00550230"/>
    <w:rsid w:val="0060744C"/>
    <w:rsid w:val="006074BF"/>
    <w:rsid w:val="00616CAF"/>
    <w:rsid w:val="006545EF"/>
    <w:rsid w:val="00685794"/>
    <w:rsid w:val="006A7DBF"/>
    <w:rsid w:val="007250FD"/>
    <w:rsid w:val="00740728"/>
    <w:rsid w:val="007646A6"/>
    <w:rsid w:val="00803883"/>
    <w:rsid w:val="00877A94"/>
    <w:rsid w:val="008A1C59"/>
    <w:rsid w:val="00957594"/>
    <w:rsid w:val="009B6A30"/>
    <w:rsid w:val="009D5C6B"/>
    <w:rsid w:val="00A24BDE"/>
    <w:rsid w:val="00A32949"/>
    <w:rsid w:val="00A60392"/>
    <w:rsid w:val="00B92F59"/>
    <w:rsid w:val="00BE5A8E"/>
    <w:rsid w:val="00BF6647"/>
    <w:rsid w:val="00C129A8"/>
    <w:rsid w:val="00C12F30"/>
    <w:rsid w:val="00C65BB7"/>
    <w:rsid w:val="00C734CD"/>
    <w:rsid w:val="00C968C2"/>
    <w:rsid w:val="00CF29D0"/>
    <w:rsid w:val="00D22F4B"/>
    <w:rsid w:val="00D35680"/>
    <w:rsid w:val="00D464E4"/>
    <w:rsid w:val="00DB1B51"/>
    <w:rsid w:val="00DC646D"/>
    <w:rsid w:val="00DD41DA"/>
    <w:rsid w:val="00DF0E4E"/>
    <w:rsid w:val="00E0145E"/>
    <w:rsid w:val="00E539E1"/>
    <w:rsid w:val="00E864EE"/>
    <w:rsid w:val="00E94776"/>
    <w:rsid w:val="00EC0C33"/>
    <w:rsid w:val="00F12180"/>
    <w:rsid w:val="00F23DB5"/>
    <w:rsid w:val="00F50F47"/>
    <w:rsid w:val="00FE18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A002CA84-99F5-4636-BD62-9F1693B6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33"/>
  </w:style>
  <w:style w:type="paragraph" w:styleId="Titre1">
    <w:name w:val="heading 1"/>
    <w:basedOn w:val="Normal"/>
    <w:link w:val="Titre1Car"/>
    <w:uiPriority w:val="9"/>
    <w:qFormat/>
    <w:rsid w:val="003B0303"/>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45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45EF"/>
    <w:rPr>
      <w:rFonts w:ascii="Lucida Grande" w:hAnsi="Lucida Grande" w:cs="Lucida Grande"/>
      <w:sz w:val="18"/>
      <w:szCs w:val="18"/>
    </w:rPr>
  </w:style>
  <w:style w:type="paragraph" w:customStyle="1" w:styleId="Paragraphestandard">
    <w:name w:val="[Paragraphe standard]"/>
    <w:basedOn w:val="Normal"/>
    <w:uiPriority w:val="99"/>
    <w:rsid w:val="00E539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e">
    <w:name w:val="texte"/>
    <w:basedOn w:val="Normal"/>
    <w:uiPriority w:val="99"/>
    <w:rsid w:val="006A7DBF"/>
    <w:pPr>
      <w:widowControl w:val="0"/>
      <w:autoSpaceDE w:val="0"/>
      <w:autoSpaceDN w:val="0"/>
      <w:adjustRightInd w:val="0"/>
      <w:spacing w:line="288" w:lineRule="auto"/>
      <w:textAlignment w:val="center"/>
    </w:pPr>
    <w:rPr>
      <w:rFonts w:ascii="UniversLTStd-Light" w:hAnsi="UniversLTStd-Light" w:cs="UniversLTStd-Light"/>
      <w:color w:val="000000"/>
      <w:sz w:val="18"/>
      <w:szCs w:val="18"/>
    </w:rPr>
  </w:style>
  <w:style w:type="paragraph" w:customStyle="1" w:styleId="Standard">
    <w:name w:val="Standard"/>
    <w:rsid w:val="001E75FE"/>
    <w:pPr>
      <w:widowControl w:val="0"/>
      <w:suppressAutoHyphens/>
      <w:autoSpaceDN w:val="0"/>
      <w:textAlignment w:val="baseline"/>
    </w:pPr>
    <w:rPr>
      <w:rFonts w:ascii="Calibri" w:eastAsia="Arial Unicode MS" w:hAnsi="Calibri" w:cs="Tahoma"/>
      <w:color w:val="000000"/>
      <w:kern w:val="3"/>
      <w:lang w:val="en-US" w:bidi="en-US"/>
    </w:rPr>
  </w:style>
  <w:style w:type="paragraph" w:styleId="En-tte">
    <w:name w:val="header"/>
    <w:basedOn w:val="Normal"/>
    <w:link w:val="En-tteCar"/>
    <w:uiPriority w:val="99"/>
    <w:unhideWhenUsed/>
    <w:rsid w:val="003355E5"/>
    <w:pPr>
      <w:tabs>
        <w:tab w:val="center" w:pos="4536"/>
        <w:tab w:val="right" w:pos="9072"/>
      </w:tabs>
    </w:pPr>
  </w:style>
  <w:style w:type="character" w:customStyle="1" w:styleId="En-tteCar">
    <w:name w:val="En-tête Car"/>
    <w:basedOn w:val="Policepardfaut"/>
    <w:link w:val="En-tte"/>
    <w:uiPriority w:val="99"/>
    <w:rsid w:val="003355E5"/>
  </w:style>
  <w:style w:type="paragraph" w:styleId="Pieddepage">
    <w:name w:val="footer"/>
    <w:basedOn w:val="Normal"/>
    <w:link w:val="PieddepageCar"/>
    <w:uiPriority w:val="99"/>
    <w:unhideWhenUsed/>
    <w:rsid w:val="003355E5"/>
    <w:pPr>
      <w:tabs>
        <w:tab w:val="center" w:pos="4536"/>
        <w:tab w:val="right" w:pos="9072"/>
      </w:tabs>
    </w:pPr>
  </w:style>
  <w:style w:type="character" w:customStyle="1" w:styleId="PieddepageCar">
    <w:name w:val="Pied de page Car"/>
    <w:basedOn w:val="Policepardfaut"/>
    <w:link w:val="Pieddepage"/>
    <w:uiPriority w:val="99"/>
    <w:rsid w:val="003355E5"/>
  </w:style>
  <w:style w:type="paragraph" w:styleId="NormalWeb">
    <w:name w:val="Normal (Web)"/>
    <w:basedOn w:val="Normal"/>
    <w:uiPriority w:val="99"/>
    <w:unhideWhenUsed/>
    <w:rsid w:val="00B92F5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57594"/>
    <w:rPr>
      <w:color w:val="0000FF" w:themeColor="hyperlink"/>
      <w:u w:val="single"/>
    </w:rPr>
  </w:style>
  <w:style w:type="paragraph" w:styleId="Paragraphedeliste">
    <w:name w:val="List Paragraph"/>
    <w:basedOn w:val="Normal"/>
    <w:uiPriority w:val="34"/>
    <w:qFormat/>
    <w:rsid w:val="001C2DC9"/>
    <w:pPr>
      <w:widowControl w:val="0"/>
      <w:suppressAutoHyphens/>
      <w:ind w:left="708"/>
    </w:pPr>
    <w:rPr>
      <w:rFonts w:ascii="Times New Roman" w:eastAsia="SimSun" w:hAnsi="Times New Roman" w:cs="Times New Roman"/>
      <w:kern w:val="16"/>
      <w:lang w:eastAsia="zh-CN"/>
    </w:rPr>
  </w:style>
  <w:style w:type="character" w:customStyle="1" w:styleId="Titre1Car">
    <w:name w:val="Titre 1 Car"/>
    <w:basedOn w:val="Policepardfaut"/>
    <w:link w:val="Titre1"/>
    <w:uiPriority w:val="9"/>
    <w:rsid w:val="003B0303"/>
    <w:rPr>
      <w:rFonts w:ascii="Times New Roman" w:eastAsia="Times New Roman" w:hAnsi="Times New Roman" w:cs="Times New Roman"/>
      <w:b/>
      <w:bCs/>
      <w:kern w:val="36"/>
      <w:sz w:val="48"/>
      <w:szCs w:val="48"/>
      <w:lang w:val="x-none" w:eastAsia="x-none"/>
    </w:rPr>
  </w:style>
  <w:style w:type="paragraph" w:styleId="Notedebasdepage">
    <w:name w:val="footnote text"/>
    <w:basedOn w:val="Normal"/>
    <w:link w:val="NotedebasdepageCar"/>
    <w:uiPriority w:val="99"/>
    <w:semiHidden/>
    <w:unhideWhenUsed/>
    <w:rsid w:val="003B0303"/>
    <w:rPr>
      <w:rFonts w:ascii="Times New Roman" w:eastAsia="Times New Roman" w:hAnsi="Times New Roman" w:cs="Times New Roman"/>
      <w:sz w:val="20"/>
      <w:szCs w:val="20"/>
      <w:lang w:val="x-none" w:eastAsia="fr-FR"/>
    </w:rPr>
  </w:style>
  <w:style w:type="character" w:customStyle="1" w:styleId="NotedebasdepageCar">
    <w:name w:val="Note de bas de page Car"/>
    <w:basedOn w:val="Policepardfaut"/>
    <w:link w:val="Notedebasdepage"/>
    <w:uiPriority w:val="99"/>
    <w:semiHidden/>
    <w:rsid w:val="003B0303"/>
    <w:rPr>
      <w:rFonts w:ascii="Times New Roman" w:eastAsia="Times New Roman" w:hAnsi="Times New Roman" w:cs="Times New Roman"/>
      <w:sz w:val="20"/>
      <w:szCs w:val="20"/>
      <w:lang w:val="x-none" w:eastAsia="fr-FR"/>
    </w:rPr>
  </w:style>
  <w:style w:type="character" w:styleId="Appelnotedebasdep">
    <w:name w:val="footnote reference"/>
    <w:uiPriority w:val="99"/>
    <w:semiHidden/>
    <w:unhideWhenUsed/>
    <w:rsid w:val="003B0303"/>
    <w:rPr>
      <w:vertAlign w:val="superscript"/>
    </w:rPr>
  </w:style>
  <w:style w:type="character" w:styleId="lev">
    <w:name w:val="Strong"/>
    <w:uiPriority w:val="22"/>
    <w:qFormat/>
    <w:rsid w:val="003B0303"/>
    <w:rPr>
      <w:b/>
      <w:bCs/>
    </w:rPr>
  </w:style>
  <w:style w:type="paragraph" w:customStyle="1" w:styleId="TableauGrille31">
    <w:name w:val="Tableau Grille 31"/>
    <w:basedOn w:val="Titre1"/>
    <w:next w:val="Normal"/>
    <w:uiPriority w:val="39"/>
    <w:unhideWhenUsed/>
    <w:qFormat/>
    <w:rsid w:val="003B0303"/>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M1">
    <w:name w:val="toc 1"/>
    <w:basedOn w:val="Normal"/>
    <w:next w:val="Normal"/>
    <w:autoRedefine/>
    <w:uiPriority w:val="39"/>
    <w:unhideWhenUsed/>
    <w:rsid w:val="003B0303"/>
    <w:pPr>
      <w:tabs>
        <w:tab w:val="right" w:leader="dot" w:pos="9346"/>
      </w:tabs>
      <w:spacing w:after="200" w:line="276" w:lineRule="auto"/>
      <w:jc w:val="both"/>
    </w:pPr>
    <w:rPr>
      <w:rFonts w:ascii="Tw Cen MT" w:eastAsia="Calibri" w:hAnsi="Tw Cen MT" w:cs="TimesNewRomanPSMT"/>
      <w:b/>
      <w:noProof/>
      <w:color w:val="00B000"/>
      <w:sz w:val="28"/>
      <w:szCs w:val="26"/>
      <w:lang w:eastAsia="fr-FR"/>
    </w:rPr>
  </w:style>
  <w:style w:type="paragraph" w:styleId="TM2">
    <w:name w:val="toc 2"/>
    <w:basedOn w:val="Normal"/>
    <w:next w:val="Normal"/>
    <w:autoRedefine/>
    <w:uiPriority w:val="39"/>
    <w:unhideWhenUsed/>
    <w:rsid w:val="003B0303"/>
    <w:pPr>
      <w:spacing w:after="100" w:line="259" w:lineRule="auto"/>
      <w:ind w:left="220"/>
    </w:pPr>
    <w:rPr>
      <w:rFonts w:ascii="Calibri" w:eastAsia="Times New Roman" w:hAnsi="Calibri"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do;jsessionid=AE9D6C55B501756D63EBDF11A39F4D43.tpdila09v_2?cidTexte=JORFTEXT000033464109&amp;dateTexte=&amp;oldAction=rechJO&amp;categorieLien=id&amp;idJO=JORFCONT0000334634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rl.europa.eu/sides/getAllAnswers.do?reference=E-2016-005122&amp;language=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esty.fr/Nos-campagnes/Liberte-expression/Actualites/Israel-doit-proteger-les-defenseurs-des-droits-humains-18155?prehome=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dh.org/fr/regions/maghreb-moyen-orient/israel-palestine/declaration-de-la-fidh-sur-le-droit-de-participer-et-a-appeler-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plateforme-palestine.org" TargetMode="External"/><Relationship Id="rId1" Type="http://schemas.openxmlformats.org/officeDocument/2006/relationships/hyperlink" Target="http://plateforme-palestin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iberation.fr/planete/2016/04/24/l-appel-pacifique-au-boycott-un-droit-en-danger_1448312" TargetMode="External"/><Relationship Id="rId2" Type="http://schemas.openxmlformats.org/officeDocument/2006/relationships/hyperlink" Target="http://www.aurdip.fr/les-menaces-du-gouvernement.html" TargetMode="External"/><Relationship Id="rId1" Type="http://schemas.openxmlformats.org/officeDocument/2006/relationships/hyperlink" Target="https://www.fidh.org/fr/regions/maghreb-moyen-orient/israel-palestine/declaration-de-la-fidh-sur-le-droit-de-participer-et-a-appeler-au" TargetMode="External"/><Relationship Id="rId6" Type="http://schemas.openxmlformats.org/officeDocument/2006/relationships/hyperlink" Target="http://unctad.org/fr/PublicationsLibrary/tdb62d3_fr.pdf" TargetMode="External"/><Relationship Id="rId5" Type="http://schemas.openxmlformats.org/officeDocument/2006/relationships/hyperlink" Target="http://www.ochaopt.org/sites/default/files/gaza_fact_sheet_august_2016_english.pdf" TargetMode="External"/><Relationship Id="rId4" Type="http://schemas.openxmlformats.org/officeDocument/2006/relationships/hyperlink" Target="http://plateforme-palestine.org/IMG/pdf/2017_parodiebanque_brochure_fc_ca_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95F0-0DC8-4F5A-8013-E65456FA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2492</Words>
  <Characters>13707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Alice</cp:lastModifiedBy>
  <cp:revision>16</cp:revision>
  <cp:lastPrinted>2015-11-19T10:21:00Z</cp:lastPrinted>
  <dcterms:created xsi:type="dcterms:W3CDTF">2015-12-30T17:22:00Z</dcterms:created>
  <dcterms:modified xsi:type="dcterms:W3CDTF">2017-05-16T17:35:00Z</dcterms:modified>
</cp:coreProperties>
</file>