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4EB0" w14:textId="5EB0ED80" w:rsidR="00771EAA" w:rsidRDefault="00982740" w:rsidP="00771EA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position de la France face à l’annexion </w:t>
      </w:r>
      <w:r w:rsidRPr="00061BAD">
        <w:rPr>
          <w:b/>
          <w:bCs/>
          <w:i/>
          <w:iCs/>
          <w:sz w:val="24"/>
          <w:szCs w:val="24"/>
        </w:rPr>
        <w:t>de facto</w:t>
      </w:r>
      <w:r>
        <w:rPr>
          <w:b/>
          <w:bCs/>
          <w:sz w:val="24"/>
          <w:szCs w:val="24"/>
        </w:rPr>
        <w:t xml:space="preserve"> de la Cisjordanie et aux accords de normalisation Israël-EAU-Bahreïn.</w:t>
      </w:r>
    </w:p>
    <w:p w14:paraId="0344B532" w14:textId="2BA1F36C" w:rsidR="007C56CA" w:rsidRPr="00982740" w:rsidRDefault="00F6265F" w:rsidP="00771EAA">
      <w:pPr>
        <w:jc w:val="both"/>
        <w:rPr>
          <w:b/>
          <w:bCs/>
          <w:i/>
          <w:iCs/>
          <w:sz w:val="24"/>
          <w:szCs w:val="24"/>
        </w:rPr>
      </w:pPr>
      <w:r w:rsidRPr="00982740">
        <w:rPr>
          <w:b/>
          <w:bCs/>
          <w:i/>
          <w:iCs/>
          <w:sz w:val="24"/>
          <w:szCs w:val="24"/>
        </w:rPr>
        <w:t>Proposition de q</w:t>
      </w:r>
      <w:r w:rsidR="00EB2FA0">
        <w:rPr>
          <w:b/>
          <w:bCs/>
          <w:i/>
          <w:iCs/>
          <w:sz w:val="24"/>
          <w:szCs w:val="24"/>
        </w:rPr>
        <w:t>uestion écrite</w:t>
      </w:r>
      <w:bookmarkStart w:id="0" w:name="_GoBack"/>
      <w:bookmarkEnd w:id="0"/>
      <w:r w:rsidR="00B11403" w:rsidRPr="00982740">
        <w:rPr>
          <w:b/>
          <w:bCs/>
          <w:i/>
          <w:iCs/>
          <w:sz w:val="24"/>
          <w:szCs w:val="24"/>
        </w:rPr>
        <w:t xml:space="preserve"> </w:t>
      </w:r>
      <w:r w:rsidR="00197851" w:rsidRPr="00982740">
        <w:rPr>
          <w:b/>
          <w:bCs/>
          <w:i/>
          <w:iCs/>
          <w:sz w:val="24"/>
          <w:szCs w:val="24"/>
        </w:rPr>
        <w:t>au ministère des Affaires étrangè</w:t>
      </w:r>
      <w:r w:rsidR="00A6604B" w:rsidRPr="00982740">
        <w:rPr>
          <w:b/>
          <w:bCs/>
          <w:i/>
          <w:iCs/>
          <w:sz w:val="24"/>
          <w:szCs w:val="24"/>
        </w:rPr>
        <w:t>r</w:t>
      </w:r>
      <w:r w:rsidR="00197851" w:rsidRPr="00982740">
        <w:rPr>
          <w:b/>
          <w:bCs/>
          <w:i/>
          <w:iCs/>
          <w:sz w:val="24"/>
          <w:szCs w:val="24"/>
        </w:rPr>
        <w:t>es</w:t>
      </w:r>
    </w:p>
    <w:p w14:paraId="4FCE103A" w14:textId="77777777" w:rsidR="008D644F" w:rsidRDefault="008D644F" w:rsidP="00B11403">
      <w:pPr>
        <w:spacing w:after="0" w:line="240" w:lineRule="auto"/>
        <w:jc w:val="both"/>
        <w:rPr>
          <w:rFonts w:ascii="Calibri" w:hAnsi="Calibri" w:cs="Calibri"/>
        </w:rPr>
      </w:pPr>
    </w:p>
    <w:p w14:paraId="5FA0883D" w14:textId="2C9763AE" w:rsidR="008D644F" w:rsidRDefault="008D644F" w:rsidP="00B11403">
      <w:pPr>
        <w:spacing w:after="0" w:line="240" w:lineRule="auto"/>
        <w:jc w:val="both"/>
        <w:rPr>
          <w:rFonts w:ascii="Calibri" w:hAnsi="Calibri" w:cs="Calibri"/>
        </w:rPr>
      </w:pPr>
    </w:p>
    <w:p w14:paraId="68E8AC46" w14:textId="2E44872E" w:rsidR="00DD2C3D" w:rsidRPr="004D5546" w:rsidRDefault="008D644F" w:rsidP="00B1140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D5546">
        <w:rPr>
          <w:rFonts w:ascii="Calibri" w:hAnsi="Calibri" w:cs="Calibri"/>
          <w:sz w:val="24"/>
          <w:szCs w:val="24"/>
        </w:rPr>
        <w:t xml:space="preserve">XYZ souhaite </w:t>
      </w:r>
      <w:r w:rsidR="000C1BFB" w:rsidRPr="004D5546">
        <w:rPr>
          <w:rFonts w:ascii="Calibri" w:hAnsi="Calibri" w:cs="Calibri"/>
          <w:sz w:val="24"/>
          <w:szCs w:val="24"/>
        </w:rPr>
        <w:t>interpeller</w:t>
      </w:r>
      <w:r w:rsidRPr="004D5546">
        <w:rPr>
          <w:rFonts w:ascii="Calibri" w:hAnsi="Calibri" w:cs="Calibri"/>
          <w:sz w:val="24"/>
          <w:szCs w:val="24"/>
        </w:rPr>
        <w:t xml:space="preserve"> M. Le </w:t>
      </w:r>
      <w:proofErr w:type="spellStart"/>
      <w:r w:rsidRPr="004D5546">
        <w:rPr>
          <w:rFonts w:ascii="Calibri" w:hAnsi="Calibri" w:cs="Calibri"/>
          <w:sz w:val="24"/>
          <w:szCs w:val="24"/>
        </w:rPr>
        <w:t>Drian</w:t>
      </w:r>
      <w:proofErr w:type="spellEnd"/>
      <w:r w:rsidRPr="004D5546">
        <w:rPr>
          <w:rFonts w:ascii="Calibri" w:hAnsi="Calibri" w:cs="Calibri"/>
          <w:sz w:val="24"/>
          <w:szCs w:val="24"/>
        </w:rPr>
        <w:t xml:space="preserve">, ministre des Affaires étrangères sur la situation </w:t>
      </w:r>
      <w:r w:rsidR="000C1BFB" w:rsidRPr="004D5546">
        <w:rPr>
          <w:rFonts w:ascii="Calibri" w:hAnsi="Calibri" w:cs="Calibri"/>
          <w:sz w:val="24"/>
          <w:szCs w:val="24"/>
        </w:rPr>
        <w:t xml:space="preserve">en Palestine et sur la position de la France vis-à-vis </w:t>
      </w:r>
      <w:r w:rsidR="00DD2C3D" w:rsidRPr="00061BAD">
        <w:rPr>
          <w:sz w:val="24"/>
          <w:szCs w:val="24"/>
        </w:rPr>
        <w:t xml:space="preserve">de l’annexion </w:t>
      </w:r>
      <w:r w:rsidR="00DD2C3D" w:rsidRPr="00061BAD">
        <w:rPr>
          <w:i/>
          <w:iCs/>
          <w:sz w:val="24"/>
          <w:szCs w:val="24"/>
        </w:rPr>
        <w:t>de facto</w:t>
      </w:r>
      <w:r w:rsidR="00DD2C3D" w:rsidRPr="00061BAD">
        <w:rPr>
          <w:sz w:val="24"/>
          <w:szCs w:val="24"/>
        </w:rPr>
        <w:t xml:space="preserve"> de la Cisjordanie et </w:t>
      </w:r>
      <w:r w:rsidR="00DD2C3D">
        <w:rPr>
          <w:sz w:val="24"/>
          <w:szCs w:val="24"/>
        </w:rPr>
        <w:t>des</w:t>
      </w:r>
      <w:r w:rsidR="00DD2C3D" w:rsidRPr="00061BAD">
        <w:rPr>
          <w:sz w:val="24"/>
          <w:szCs w:val="24"/>
        </w:rPr>
        <w:t xml:space="preserve"> accords Israël-</w:t>
      </w:r>
      <w:r w:rsidR="00DD2C3D" w:rsidRPr="004D5546">
        <w:rPr>
          <w:sz w:val="24"/>
          <w:szCs w:val="24"/>
        </w:rPr>
        <w:t>Emirats arabes unis</w:t>
      </w:r>
      <w:r w:rsidR="00DD2C3D" w:rsidRPr="00061BAD">
        <w:rPr>
          <w:sz w:val="24"/>
          <w:szCs w:val="24"/>
        </w:rPr>
        <w:t>-Bahreïn.</w:t>
      </w:r>
    </w:p>
    <w:p w14:paraId="2FF46958" w14:textId="4E7A21D8" w:rsidR="00B66D7D" w:rsidRPr="004D5546" w:rsidRDefault="00B66D7D" w:rsidP="00B1140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FCCE22" w14:textId="1602A9DC" w:rsidR="00B11403" w:rsidRPr="004D5546" w:rsidRDefault="00874127" w:rsidP="00874127">
      <w:pPr>
        <w:spacing w:after="0" w:line="240" w:lineRule="auto"/>
        <w:jc w:val="both"/>
        <w:rPr>
          <w:sz w:val="24"/>
          <w:szCs w:val="24"/>
        </w:rPr>
      </w:pPr>
      <w:r w:rsidRPr="004D5546">
        <w:rPr>
          <w:rFonts w:ascii="Calibri" w:hAnsi="Calibri" w:cs="Calibri"/>
          <w:sz w:val="24"/>
          <w:szCs w:val="24"/>
        </w:rPr>
        <w:t>En Cisjordanie occupée, les autorités israéliennes</w:t>
      </w:r>
      <w:r w:rsidRPr="004D5546">
        <w:rPr>
          <w:rFonts w:ascii="Calibri" w:hAnsi="Calibri" w:cs="Calibri"/>
          <w:sz w:val="24"/>
          <w:szCs w:val="24"/>
          <w:lang w:eastAsia="fr-FR"/>
        </w:rPr>
        <w:t xml:space="preserve"> </w:t>
      </w:r>
      <w:r w:rsidRPr="004D5546">
        <w:rPr>
          <w:sz w:val="24"/>
          <w:szCs w:val="24"/>
        </w:rPr>
        <w:t>renforcent leurs politiques de transferts forcés, en particulier en zone C, avec une augmentation inquiétante du nombre de démolitions et confiscations (</w:t>
      </w:r>
      <w:hyperlink r:id="rId5" w:history="1">
        <w:r w:rsidRPr="004D5546">
          <w:rPr>
            <w:rStyle w:val="Lienhypertexte"/>
            <w:color w:val="auto"/>
            <w:sz w:val="24"/>
            <w:szCs w:val="24"/>
            <w:u w:val="none"/>
          </w:rPr>
          <w:t>389</w:t>
        </w:r>
      </w:hyperlink>
      <w:r w:rsidRPr="004D5546">
        <w:rPr>
          <w:sz w:val="24"/>
          <w:szCs w:val="24"/>
        </w:rPr>
        <w:t xml:space="preserve"> entre mars et août 2020) et la colonisation s’accélère, avec l’approbation récente de la construction de </w:t>
      </w:r>
      <w:hyperlink r:id="rId6" w:history="1">
        <w:r w:rsidR="00600091">
          <w:rPr>
            <w:rStyle w:val="Lienhypertexte"/>
            <w:color w:val="auto"/>
            <w:sz w:val="24"/>
            <w:szCs w:val="24"/>
            <w:u w:val="none"/>
          </w:rPr>
          <w:t>4 90</w:t>
        </w:r>
        <w:r w:rsidRPr="004D5546">
          <w:rPr>
            <w:rStyle w:val="Lienhypertexte"/>
            <w:color w:val="auto"/>
            <w:sz w:val="24"/>
            <w:szCs w:val="24"/>
            <w:u w:val="none"/>
          </w:rPr>
          <w:t>0</w:t>
        </w:r>
      </w:hyperlink>
      <w:r w:rsidRPr="004D5546">
        <w:rPr>
          <w:sz w:val="24"/>
          <w:szCs w:val="24"/>
        </w:rPr>
        <w:t xml:space="preserve"> nouvelles unités de logement dans des colonies par le gouvernement israélien. Bien que l’annexion formelle ait été suspendue à la suite de l’accord entre Israël et les Emirats arabes unis (EAU), c’est une véritable annexion </w:t>
      </w:r>
      <w:r w:rsidRPr="004D5546">
        <w:rPr>
          <w:i/>
          <w:iCs/>
          <w:sz w:val="24"/>
          <w:szCs w:val="24"/>
        </w:rPr>
        <w:t>de facto</w:t>
      </w:r>
      <w:r w:rsidRPr="004D5546">
        <w:rPr>
          <w:sz w:val="24"/>
          <w:szCs w:val="24"/>
        </w:rPr>
        <w:t xml:space="preserve"> qui a lieu en Palestine et </w:t>
      </w:r>
      <w:r w:rsidR="00886C3C" w:rsidRPr="004D5546">
        <w:rPr>
          <w:sz w:val="24"/>
          <w:szCs w:val="24"/>
        </w:rPr>
        <w:t>qui</w:t>
      </w:r>
      <w:r w:rsidRPr="004D5546">
        <w:rPr>
          <w:sz w:val="24"/>
          <w:szCs w:val="24"/>
        </w:rPr>
        <w:t xml:space="preserve"> est tout aussi illégale.</w:t>
      </w:r>
    </w:p>
    <w:p w14:paraId="6E7DC869" w14:textId="6A7E51C3" w:rsidR="0019726E" w:rsidRPr="004D5546" w:rsidRDefault="0019726E" w:rsidP="00874127">
      <w:pPr>
        <w:spacing w:after="0" w:line="240" w:lineRule="auto"/>
        <w:jc w:val="both"/>
        <w:rPr>
          <w:sz w:val="24"/>
          <w:szCs w:val="24"/>
        </w:rPr>
      </w:pPr>
    </w:p>
    <w:p w14:paraId="176B25EC" w14:textId="33676E4D" w:rsidR="002D4816" w:rsidRPr="004D5546" w:rsidRDefault="004D5546" w:rsidP="00874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Pr="004D5546">
        <w:rPr>
          <w:sz w:val="24"/>
          <w:szCs w:val="24"/>
        </w:rPr>
        <w:t xml:space="preserve"> 24 juin 2020</w:t>
      </w:r>
      <w:r>
        <w:rPr>
          <w:sz w:val="24"/>
          <w:szCs w:val="24"/>
        </w:rPr>
        <w:t>, l</w:t>
      </w:r>
      <w:r w:rsidR="0019726E" w:rsidRPr="004D5546">
        <w:rPr>
          <w:sz w:val="24"/>
          <w:szCs w:val="24"/>
        </w:rPr>
        <w:t xml:space="preserve">a France a annoncé une série de mesures </w:t>
      </w:r>
      <w:r w:rsidR="002D4816" w:rsidRPr="004D5546">
        <w:rPr>
          <w:sz w:val="24"/>
          <w:szCs w:val="24"/>
        </w:rPr>
        <w:t>courageuses</w:t>
      </w:r>
      <w:r w:rsidR="0019726E" w:rsidRPr="004D5546">
        <w:rPr>
          <w:sz w:val="24"/>
          <w:szCs w:val="24"/>
        </w:rPr>
        <w:t xml:space="preserve"> en cas d’annexion formelle </w:t>
      </w:r>
      <w:r w:rsidR="002C1FE8" w:rsidRPr="004D5546">
        <w:rPr>
          <w:sz w:val="24"/>
          <w:szCs w:val="24"/>
        </w:rPr>
        <w:t>d’une partie de la Cisjordanie</w:t>
      </w:r>
      <w:r w:rsidR="002D4816" w:rsidRPr="004D5546">
        <w:rPr>
          <w:sz w:val="24"/>
          <w:szCs w:val="24"/>
        </w:rPr>
        <w:t>, telles que le renforcement des mesures de différenciation, la remise en cause de l’Accord d’Association UE-Israël</w:t>
      </w:r>
      <w:r w:rsidR="007614FD">
        <w:rPr>
          <w:sz w:val="24"/>
          <w:szCs w:val="24"/>
        </w:rPr>
        <w:t xml:space="preserve"> ou encore de la participation d’Israël à différents programmes de coopération européens</w:t>
      </w:r>
      <w:r w:rsidR="002C1FE8" w:rsidRPr="004D5546">
        <w:rPr>
          <w:sz w:val="24"/>
          <w:szCs w:val="24"/>
        </w:rPr>
        <w:t xml:space="preserve">. </w:t>
      </w:r>
    </w:p>
    <w:p w14:paraId="0B139C28" w14:textId="13092F09" w:rsidR="0019726E" w:rsidRPr="004D5546" w:rsidRDefault="00362D33" w:rsidP="00874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C1FE8" w:rsidRPr="004D5546">
        <w:rPr>
          <w:sz w:val="24"/>
          <w:szCs w:val="24"/>
        </w:rPr>
        <w:t>u regard de ses obligations internationales, elle devrait déjà avoir mis en place de telles mesures</w:t>
      </w:r>
      <w:r w:rsidR="007614FD">
        <w:rPr>
          <w:sz w:val="24"/>
          <w:szCs w:val="24"/>
        </w:rPr>
        <w:t>,</w:t>
      </w:r>
      <w:r w:rsidR="002C1FE8" w:rsidRPr="004D5546">
        <w:rPr>
          <w:sz w:val="24"/>
          <w:szCs w:val="24"/>
        </w:rPr>
        <w:t xml:space="preserve"> au vu de l’annexion en cours sur le terrain et des violations du droit international humanitaire et </w:t>
      </w:r>
      <w:proofErr w:type="gramStart"/>
      <w:r w:rsidR="002C1FE8" w:rsidRPr="004D5546">
        <w:rPr>
          <w:sz w:val="24"/>
          <w:szCs w:val="24"/>
        </w:rPr>
        <w:t>des droits humains observées</w:t>
      </w:r>
      <w:proofErr w:type="gramEnd"/>
      <w:r w:rsidR="002C1FE8" w:rsidRPr="004D5546">
        <w:rPr>
          <w:sz w:val="24"/>
          <w:szCs w:val="24"/>
        </w:rPr>
        <w:t xml:space="preserve"> au quotidien dans le Territoire palestinien occupé. </w:t>
      </w:r>
    </w:p>
    <w:p w14:paraId="1E7CC52B" w14:textId="1A419BAA" w:rsidR="00886C3C" w:rsidRPr="004D5546" w:rsidRDefault="00886C3C" w:rsidP="00874127">
      <w:pPr>
        <w:spacing w:after="0" w:line="240" w:lineRule="auto"/>
        <w:jc w:val="both"/>
        <w:rPr>
          <w:sz w:val="24"/>
          <w:szCs w:val="24"/>
        </w:rPr>
      </w:pPr>
    </w:p>
    <w:p w14:paraId="3ECDC1E8" w14:textId="28361838" w:rsidR="0019726E" w:rsidRPr="004D5546" w:rsidRDefault="005C75D7" w:rsidP="005C75D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D5546">
        <w:rPr>
          <w:sz w:val="24"/>
          <w:szCs w:val="24"/>
        </w:rPr>
        <w:t>La France s’est félicitée des accords de normalisation</w:t>
      </w:r>
      <w:r w:rsidR="00DD2C3D">
        <w:rPr>
          <w:sz w:val="24"/>
          <w:szCs w:val="24"/>
        </w:rPr>
        <w:t xml:space="preserve"> des EAU et du Bahreïn avec Israël</w:t>
      </w:r>
      <w:r w:rsidRPr="004D5546">
        <w:rPr>
          <w:sz w:val="24"/>
          <w:szCs w:val="24"/>
        </w:rPr>
        <w:t xml:space="preserve"> et </w:t>
      </w:r>
      <w:r w:rsidRPr="004D5546">
        <w:rPr>
          <w:rFonts w:ascii="Calibri" w:hAnsi="Calibri" w:cs="Calibri"/>
          <w:sz w:val="24"/>
          <w:szCs w:val="24"/>
        </w:rPr>
        <w:t xml:space="preserve">le Haut Représentant aux Affaires extérieures Josep </w:t>
      </w:r>
      <w:proofErr w:type="spellStart"/>
      <w:r w:rsidRPr="004D5546">
        <w:rPr>
          <w:rFonts w:ascii="Calibri" w:hAnsi="Calibri" w:cs="Calibri"/>
          <w:sz w:val="24"/>
          <w:szCs w:val="24"/>
        </w:rPr>
        <w:t>Borrell</w:t>
      </w:r>
      <w:proofErr w:type="spellEnd"/>
      <w:r w:rsidRPr="004D5546">
        <w:rPr>
          <w:rFonts w:ascii="Calibri" w:hAnsi="Calibri" w:cs="Calibri"/>
          <w:sz w:val="24"/>
          <w:szCs w:val="24"/>
        </w:rPr>
        <w:t xml:space="preserve"> a déclaré à propos d’Israël et de l’UE « </w:t>
      </w:r>
      <w:r w:rsidRPr="004D5546">
        <w:rPr>
          <w:rFonts w:ascii="Calibri" w:hAnsi="Calibri" w:cs="Calibri"/>
          <w:i/>
          <w:iCs/>
          <w:sz w:val="24"/>
          <w:szCs w:val="24"/>
        </w:rPr>
        <w:t xml:space="preserve">qu'il est dans l'intérêt commun et mutuel des deux parties d'intensifier la coopération bilatérale. » </w:t>
      </w:r>
      <w:r w:rsidRPr="004D5546">
        <w:rPr>
          <w:rFonts w:ascii="Calibri" w:hAnsi="Calibri" w:cs="Calibri"/>
          <w:sz w:val="24"/>
          <w:szCs w:val="24"/>
        </w:rPr>
        <w:t xml:space="preserve">Plusieurs voix s’élèvent pour réunir à nouveau le Conseil d‘association UE-Israël, dont les réunions ont été gelées depuis l’attaque israélienne sur Gaza en 2012, y compris le Commissaire européen à la politique européenne de voisinage. </w:t>
      </w:r>
    </w:p>
    <w:p w14:paraId="442BC9E9" w14:textId="2494CB35" w:rsidR="0019726E" w:rsidRDefault="0019726E" w:rsidP="007614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D5546">
        <w:rPr>
          <w:rFonts w:ascii="Calibri" w:hAnsi="Calibri" w:cs="Calibri"/>
          <w:sz w:val="24"/>
          <w:szCs w:val="24"/>
        </w:rPr>
        <w:t xml:space="preserve">Cela enverrait un signal extrêmement positif aux autorités israéliennes alors même qu’elles sont en train d’opérer une annexion </w:t>
      </w:r>
      <w:r w:rsidRPr="004D5546">
        <w:rPr>
          <w:rFonts w:ascii="Calibri" w:hAnsi="Calibri" w:cs="Calibri"/>
          <w:i/>
          <w:iCs/>
          <w:sz w:val="24"/>
          <w:szCs w:val="24"/>
        </w:rPr>
        <w:t>de facto</w:t>
      </w:r>
      <w:r w:rsidRPr="004D5546">
        <w:rPr>
          <w:rFonts w:ascii="Calibri" w:hAnsi="Calibri" w:cs="Calibri"/>
          <w:sz w:val="24"/>
          <w:szCs w:val="24"/>
        </w:rPr>
        <w:t xml:space="preserve"> du territoire palestinien et que la colonisation se renforce.</w:t>
      </w:r>
    </w:p>
    <w:p w14:paraId="7B44819F" w14:textId="77777777" w:rsidR="007614FD" w:rsidRPr="007614FD" w:rsidRDefault="007614FD" w:rsidP="007614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317D069" w14:textId="7D68794C" w:rsidR="00B66D7D" w:rsidRDefault="00D94DA5" w:rsidP="00D20818">
      <w:pPr>
        <w:pStyle w:val="Paragraphedeliste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10162E" w:rsidRPr="004D5546">
        <w:rPr>
          <w:b/>
          <w:bCs/>
          <w:sz w:val="24"/>
          <w:szCs w:val="24"/>
        </w:rPr>
        <w:t>uelle position la France portera au sein de l’Union européenne vis-à-vis d’une possible reprise des réunions du Conseil d’Association UE-Israël ?</w:t>
      </w:r>
    </w:p>
    <w:p w14:paraId="3E2EE840" w14:textId="4F6B6629" w:rsidR="00D94DA5" w:rsidRPr="00D94DA5" w:rsidRDefault="005E1231" w:rsidP="00D20818">
      <w:pPr>
        <w:pStyle w:val="Paragraphedeliste"/>
        <w:numPr>
          <w:ilvl w:val="0"/>
          <w:numId w:val="2"/>
        </w:numPr>
        <w:spacing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Face à l’annexion </w:t>
      </w:r>
      <w:r w:rsidRPr="004F50A1">
        <w:rPr>
          <w:b/>
          <w:bCs/>
          <w:i/>
          <w:iCs/>
          <w:color w:val="000000"/>
          <w:sz w:val="24"/>
          <w:szCs w:val="24"/>
        </w:rPr>
        <w:t>de facto</w:t>
      </w:r>
      <w:r>
        <w:rPr>
          <w:b/>
          <w:bCs/>
          <w:color w:val="000000"/>
          <w:sz w:val="24"/>
          <w:szCs w:val="24"/>
        </w:rPr>
        <w:t xml:space="preserve"> de la Cisjordanie occupée, l</w:t>
      </w:r>
      <w:r w:rsidR="00D94DA5" w:rsidRPr="004D5546">
        <w:rPr>
          <w:b/>
          <w:bCs/>
          <w:color w:val="000000"/>
          <w:sz w:val="24"/>
          <w:szCs w:val="24"/>
        </w:rPr>
        <w:t>a France envisage</w:t>
      </w:r>
      <w:r w:rsidR="00D94DA5">
        <w:rPr>
          <w:b/>
          <w:bCs/>
          <w:color w:val="000000"/>
          <w:sz w:val="24"/>
          <w:szCs w:val="24"/>
        </w:rPr>
        <w:t>-t-elle</w:t>
      </w:r>
      <w:r w:rsidR="00D94DA5" w:rsidRPr="004D5546">
        <w:rPr>
          <w:b/>
          <w:bCs/>
          <w:color w:val="000000"/>
          <w:sz w:val="24"/>
          <w:szCs w:val="24"/>
        </w:rPr>
        <w:t xml:space="preserve"> </w:t>
      </w:r>
      <w:r w:rsidR="00D94DA5">
        <w:rPr>
          <w:b/>
          <w:bCs/>
          <w:color w:val="000000"/>
          <w:sz w:val="24"/>
          <w:szCs w:val="24"/>
        </w:rPr>
        <w:t xml:space="preserve">de mettre en œuvre les mesures annoncées le 24 juin 2020 </w:t>
      </w:r>
      <w:r>
        <w:rPr>
          <w:b/>
          <w:bCs/>
          <w:color w:val="000000"/>
          <w:sz w:val="24"/>
          <w:szCs w:val="24"/>
        </w:rPr>
        <w:t>et ainsi se conformer à</w:t>
      </w:r>
      <w:r w:rsidR="00F11051">
        <w:rPr>
          <w:b/>
          <w:bCs/>
          <w:color w:val="000000"/>
          <w:sz w:val="24"/>
          <w:szCs w:val="24"/>
        </w:rPr>
        <w:t xml:space="preserve"> la résolution 2334 du Conseil de sécurité de l’ONU </w:t>
      </w:r>
      <w:r w:rsidR="00F6781B">
        <w:rPr>
          <w:b/>
          <w:bCs/>
          <w:color w:val="000000"/>
          <w:sz w:val="24"/>
          <w:szCs w:val="24"/>
        </w:rPr>
        <w:t>?</w:t>
      </w:r>
    </w:p>
    <w:sectPr w:rsidR="00D94DA5" w:rsidRPr="00D9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48"/>
    <w:multiLevelType w:val="hybridMultilevel"/>
    <w:tmpl w:val="FCDC2710"/>
    <w:lvl w:ilvl="0" w:tplc="2E9A2702">
      <w:start w:val="2"/>
      <w:numFmt w:val="bullet"/>
      <w:lvlText w:val=""/>
      <w:lvlJc w:val="left"/>
      <w:pPr>
        <w:ind w:left="720" w:hanging="360"/>
      </w:pPr>
      <w:rPr>
        <w:rFonts w:ascii="Wingdings" w:eastAsia="Batang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970DF"/>
    <w:multiLevelType w:val="hybridMultilevel"/>
    <w:tmpl w:val="727EC564"/>
    <w:lvl w:ilvl="0" w:tplc="C4207D4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03"/>
    <w:rsid w:val="00061BAD"/>
    <w:rsid w:val="000C1BFB"/>
    <w:rsid w:val="000D025F"/>
    <w:rsid w:val="0010162E"/>
    <w:rsid w:val="0019726E"/>
    <w:rsid w:val="00197851"/>
    <w:rsid w:val="001F230A"/>
    <w:rsid w:val="002C1FE8"/>
    <w:rsid w:val="002D4816"/>
    <w:rsid w:val="00362D33"/>
    <w:rsid w:val="003D1B9C"/>
    <w:rsid w:val="00444F54"/>
    <w:rsid w:val="004A65B5"/>
    <w:rsid w:val="004D5546"/>
    <w:rsid w:val="004F2D47"/>
    <w:rsid w:val="004F50A1"/>
    <w:rsid w:val="00541891"/>
    <w:rsid w:val="005C75D7"/>
    <w:rsid w:val="005E1231"/>
    <w:rsid w:val="00600091"/>
    <w:rsid w:val="006C5D1D"/>
    <w:rsid w:val="00723695"/>
    <w:rsid w:val="007614FD"/>
    <w:rsid w:val="00770AEA"/>
    <w:rsid w:val="00771EAA"/>
    <w:rsid w:val="00874127"/>
    <w:rsid w:val="00886C3C"/>
    <w:rsid w:val="008D644F"/>
    <w:rsid w:val="00934728"/>
    <w:rsid w:val="00982740"/>
    <w:rsid w:val="009D65F1"/>
    <w:rsid w:val="00A2661D"/>
    <w:rsid w:val="00A6604B"/>
    <w:rsid w:val="00B11403"/>
    <w:rsid w:val="00B5161D"/>
    <w:rsid w:val="00B66D7D"/>
    <w:rsid w:val="00B74DAD"/>
    <w:rsid w:val="00BD7077"/>
    <w:rsid w:val="00C443AA"/>
    <w:rsid w:val="00D20818"/>
    <w:rsid w:val="00D94DA5"/>
    <w:rsid w:val="00DD2C3D"/>
    <w:rsid w:val="00EB2FA0"/>
    <w:rsid w:val="00EC16F1"/>
    <w:rsid w:val="00F11051"/>
    <w:rsid w:val="00F6265F"/>
    <w:rsid w:val="00F6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670C"/>
  <w15:chartTrackingRefBased/>
  <w15:docId w15:val="{8C84E123-D0E8-4EDC-93B7-33B63ED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14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11403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ddleeastmonitor.com/20200926-netanyahu-orders-construction-of-5000-new-settlement-units-in-west-bank/" TargetMode="External"/><Relationship Id="rId5" Type="http://schemas.openxmlformats.org/officeDocument/2006/relationships/hyperlink" Target="https://www.ochaopt.org/content/unlawful-demolitions-west-bank-spike-during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Plateforme Palestine</dc:creator>
  <cp:keywords/>
  <dc:description/>
  <cp:lastModifiedBy>Alice</cp:lastModifiedBy>
  <cp:revision>13</cp:revision>
  <dcterms:created xsi:type="dcterms:W3CDTF">2020-10-20T14:15:00Z</dcterms:created>
  <dcterms:modified xsi:type="dcterms:W3CDTF">2020-10-28T16:10:00Z</dcterms:modified>
</cp:coreProperties>
</file>